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5367" w:rsidP="00ED3E02" w:rsidRDefault="00000000" w14:paraId="4693F44B" w14:textId="77777777">
      <w:bookmarkStart w:name="_Hlk170215426" w:id="0"/>
      <w:r>
        <w:pict w14:anchorId="6205F564">
          <v:rect id="_x0000_i1025" style="width:0;height:1.5pt" o:hr="t" o:hrstd="t" o:hralign="center" fillcolor="#a0a0a0" stroked="f"/>
        </w:pict>
      </w:r>
    </w:p>
    <w:p w:rsidR="004210EB" w:rsidP="004210EB" w:rsidRDefault="00812058" w14:paraId="1588E598" w14:textId="557B6EE1">
      <w:pPr>
        <w:pStyle w:val="Heading1"/>
      </w:pPr>
      <w:r>
        <w:t xml:space="preserve">Job Description- </w:t>
      </w:r>
      <w:r w:rsidR="002908A0">
        <w:t xml:space="preserve">Senior </w:t>
      </w:r>
      <w:r w:rsidRPr="002908A0" w:rsidR="002908A0">
        <w:t>Service Delivery Specialis</w:t>
      </w:r>
      <w:r w:rsidR="002908A0">
        <w:t>t</w:t>
      </w:r>
    </w:p>
    <w:tbl>
      <w:tblPr>
        <w:tblStyle w:val="GridTable4"/>
        <w:tblW w:w="10343" w:type="dxa"/>
        <w:tblLook w:val="06A0" w:firstRow="1" w:lastRow="0" w:firstColumn="1" w:lastColumn="0" w:noHBand="1" w:noVBand="1"/>
      </w:tblPr>
      <w:tblGrid>
        <w:gridCol w:w="2548"/>
        <w:gridCol w:w="7795"/>
      </w:tblGrid>
      <w:tr w:rsidRPr="004B455B" w:rsidR="006C5831" w:rsidTr="006C5831" w14:paraId="2A747E7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Pr>
          <w:p w:rsidRPr="009F393B" w:rsidR="006C5831" w:rsidP="009F393B" w:rsidRDefault="006C5831" w14:paraId="3FDCA926" w14:textId="681ECF0D">
            <w:pPr>
              <w:pStyle w:val="Tableheading1"/>
            </w:pPr>
            <w:r>
              <w:t xml:space="preserve">Job Specifics </w:t>
            </w:r>
          </w:p>
        </w:tc>
        <w:tc>
          <w:tcPr>
            <w:tcW w:w="7795" w:type="dxa"/>
          </w:tcPr>
          <w:p w:rsidRPr="004B455B" w:rsidR="006C5831" w:rsidP="00F02405" w:rsidRDefault="006C5831" w14:paraId="0F51E1BC" w14:textId="77777777">
            <w:pPr>
              <w:pStyle w:val="Table"/>
              <w:cnfStyle w:val="100000000000" w:firstRow="1" w:lastRow="0" w:firstColumn="0" w:lastColumn="0" w:oddVBand="0" w:evenVBand="0" w:oddHBand="0" w:evenHBand="0" w:firstRowFirstColumn="0" w:firstRowLastColumn="0" w:lastRowFirstColumn="0" w:lastRowLastColumn="0"/>
            </w:pPr>
          </w:p>
        </w:tc>
      </w:tr>
      <w:tr w:rsidRPr="004B455B" w:rsidR="006C5831" w:rsidTr="006C5831" w14:paraId="67C4B26C" w14:textId="77777777">
        <w:tc>
          <w:tcPr>
            <w:cnfStyle w:val="001000000000" w:firstRow="0" w:lastRow="0" w:firstColumn="1" w:lastColumn="0" w:oddVBand="0" w:evenVBand="0" w:oddHBand="0" w:evenHBand="0" w:firstRowFirstColumn="0" w:firstRowLastColumn="0" w:lastRowFirstColumn="0" w:lastRowLastColumn="0"/>
            <w:tcW w:w="2548" w:type="dxa"/>
          </w:tcPr>
          <w:p w:rsidRPr="00F02405" w:rsidR="006C5831" w:rsidP="00F02405" w:rsidRDefault="006C5831" w14:paraId="5224BDF9" w14:textId="30C58519">
            <w:pPr>
              <w:pStyle w:val="Table"/>
              <w:rPr>
                <w:b w:val="0"/>
                <w:bCs w:val="0"/>
              </w:rPr>
            </w:pPr>
            <w:r>
              <w:rPr>
                <w:b w:val="0"/>
                <w:bCs w:val="0"/>
              </w:rPr>
              <w:t>Job Title</w:t>
            </w:r>
          </w:p>
        </w:tc>
        <w:tc>
          <w:tcPr>
            <w:tcW w:w="7795" w:type="dxa"/>
          </w:tcPr>
          <w:p w:rsidRPr="004B455B" w:rsidR="006C5831" w:rsidP="00F02405" w:rsidRDefault="006C5831" w14:paraId="6698E760" w14:textId="652C21F7">
            <w:pPr>
              <w:pStyle w:val="Table"/>
              <w:cnfStyle w:val="000000000000" w:firstRow="0" w:lastRow="0" w:firstColumn="0" w:lastColumn="0" w:oddVBand="0" w:evenVBand="0" w:oddHBand="0" w:evenHBand="0" w:firstRowFirstColumn="0" w:firstRowLastColumn="0" w:lastRowFirstColumn="0" w:lastRowLastColumn="0"/>
            </w:pPr>
            <w:r>
              <w:t xml:space="preserve">Senior </w:t>
            </w:r>
            <w:r w:rsidRPr="002908A0" w:rsidR="002908A0">
              <w:t>Service Delivery Specialist  </w:t>
            </w:r>
          </w:p>
        </w:tc>
      </w:tr>
      <w:tr w:rsidRPr="004B455B" w:rsidR="006C5831" w:rsidTr="006C5831" w14:paraId="6DA92CD1" w14:textId="77777777">
        <w:trPr>
          <w:trHeight w:val="85"/>
        </w:trPr>
        <w:tc>
          <w:tcPr>
            <w:cnfStyle w:val="001000000000" w:firstRow="0" w:lastRow="0" w:firstColumn="1" w:lastColumn="0" w:oddVBand="0" w:evenVBand="0" w:oddHBand="0" w:evenHBand="0" w:firstRowFirstColumn="0" w:firstRowLastColumn="0" w:lastRowFirstColumn="0" w:lastRowLastColumn="0"/>
            <w:tcW w:w="2548" w:type="dxa"/>
          </w:tcPr>
          <w:p w:rsidRPr="00F02405" w:rsidR="006C5831" w:rsidP="006C5831" w:rsidRDefault="006C5831" w14:paraId="7FFDDAA2" w14:textId="1C0CF254">
            <w:pPr>
              <w:pStyle w:val="TableBullet"/>
              <w:numPr>
                <w:ilvl w:val="0"/>
                <w:numId w:val="0"/>
              </w:numPr>
              <w:ind w:left="306" w:hanging="284"/>
              <w:rPr>
                <w:b w:val="0"/>
                <w:bCs w:val="0"/>
              </w:rPr>
            </w:pPr>
            <w:r>
              <w:rPr>
                <w:b w:val="0"/>
                <w:bCs w:val="0"/>
              </w:rPr>
              <w:t>Reports to</w:t>
            </w:r>
          </w:p>
        </w:tc>
        <w:tc>
          <w:tcPr>
            <w:tcW w:w="7795" w:type="dxa"/>
          </w:tcPr>
          <w:p w:rsidRPr="004B455B" w:rsidR="006C5831" w:rsidP="00F02405" w:rsidRDefault="002908A0" w14:paraId="48B96D4A" w14:textId="01D06D03">
            <w:pPr>
              <w:pStyle w:val="Table"/>
              <w:cnfStyle w:val="000000000000" w:firstRow="0" w:lastRow="0" w:firstColumn="0" w:lastColumn="0" w:oddVBand="0" w:evenVBand="0" w:oddHBand="0" w:evenHBand="0" w:firstRowFirstColumn="0" w:firstRowLastColumn="0" w:lastRowFirstColumn="0" w:lastRowLastColumn="0"/>
            </w:pPr>
            <w:r>
              <w:t xml:space="preserve">Senior </w:t>
            </w:r>
            <w:r w:rsidR="006C5831">
              <w:t>Service Delivery Manager</w:t>
            </w:r>
          </w:p>
        </w:tc>
      </w:tr>
      <w:tr w:rsidRPr="004B455B" w:rsidR="006C5831" w:rsidTr="006C5831" w14:paraId="28240BC7" w14:textId="77777777">
        <w:trPr>
          <w:trHeight w:val="85"/>
        </w:trPr>
        <w:tc>
          <w:tcPr>
            <w:cnfStyle w:val="001000000000" w:firstRow="0" w:lastRow="0" w:firstColumn="1" w:lastColumn="0" w:oddVBand="0" w:evenVBand="0" w:oddHBand="0" w:evenHBand="0" w:firstRowFirstColumn="0" w:firstRowLastColumn="0" w:lastRowFirstColumn="0" w:lastRowLastColumn="0"/>
            <w:tcW w:w="2548" w:type="dxa"/>
          </w:tcPr>
          <w:p w:rsidR="006C5831" w:rsidP="006C5831" w:rsidRDefault="006C5831" w14:paraId="4D3FBCEE" w14:textId="0E39D345">
            <w:pPr>
              <w:pStyle w:val="TableBullet"/>
              <w:numPr>
                <w:ilvl w:val="0"/>
                <w:numId w:val="0"/>
              </w:numPr>
              <w:ind w:left="306" w:hanging="284"/>
              <w:rPr>
                <w:b w:val="0"/>
                <w:bCs w:val="0"/>
              </w:rPr>
            </w:pPr>
            <w:r>
              <w:rPr>
                <w:b w:val="0"/>
                <w:bCs w:val="0"/>
              </w:rPr>
              <w:t>Location</w:t>
            </w:r>
          </w:p>
        </w:tc>
        <w:tc>
          <w:tcPr>
            <w:tcW w:w="7795" w:type="dxa"/>
          </w:tcPr>
          <w:p w:rsidR="002908A0" w:rsidP="00F02405" w:rsidRDefault="002908A0" w14:paraId="213FD03A" w14:textId="20138E5A">
            <w:pPr>
              <w:pStyle w:val="Table"/>
              <w:cnfStyle w:val="000000000000" w:firstRow="0" w:lastRow="0" w:firstColumn="0" w:lastColumn="0" w:oddVBand="0" w:evenVBand="0" w:oddHBand="0" w:evenHBand="0" w:firstRowFirstColumn="0" w:firstRowLastColumn="0" w:lastRowFirstColumn="0" w:lastRowLastColumn="0"/>
            </w:pPr>
            <w:r>
              <w:t xml:space="preserve">Cheltenham </w:t>
            </w:r>
          </w:p>
        </w:tc>
      </w:tr>
      <w:tr w:rsidRPr="004B455B" w:rsidR="006C5831" w:rsidTr="006C5831" w14:paraId="5D392F9C" w14:textId="77777777">
        <w:trPr>
          <w:trHeight w:val="85"/>
        </w:trPr>
        <w:tc>
          <w:tcPr>
            <w:cnfStyle w:val="001000000000" w:firstRow="0" w:lastRow="0" w:firstColumn="1" w:lastColumn="0" w:oddVBand="0" w:evenVBand="0" w:oddHBand="0" w:evenHBand="0" w:firstRowFirstColumn="0" w:firstRowLastColumn="0" w:lastRowFirstColumn="0" w:lastRowLastColumn="0"/>
            <w:tcW w:w="2548" w:type="dxa"/>
          </w:tcPr>
          <w:p w:rsidR="006C5831" w:rsidP="006C5831" w:rsidRDefault="006C5831" w14:paraId="53BB8131" w14:textId="62D387DD">
            <w:pPr>
              <w:pStyle w:val="TableBullet"/>
              <w:numPr>
                <w:ilvl w:val="0"/>
                <w:numId w:val="0"/>
              </w:numPr>
              <w:ind w:left="306" w:hanging="284"/>
              <w:rPr>
                <w:b w:val="0"/>
                <w:bCs w:val="0"/>
              </w:rPr>
            </w:pPr>
            <w:r>
              <w:rPr>
                <w:b w:val="0"/>
                <w:bCs w:val="0"/>
              </w:rPr>
              <w:t>Department</w:t>
            </w:r>
          </w:p>
        </w:tc>
        <w:tc>
          <w:tcPr>
            <w:tcW w:w="7795" w:type="dxa"/>
          </w:tcPr>
          <w:p w:rsidR="006C5831" w:rsidP="00F02405" w:rsidRDefault="002908A0" w14:paraId="5B581562" w14:textId="05DA25B8">
            <w:pPr>
              <w:pStyle w:val="Table"/>
              <w:cnfStyle w:val="000000000000" w:firstRow="0" w:lastRow="0" w:firstColumn="0" w:lastColumn="0" w:oddVBand="0" w:evenVBand="0" w:oddHBand="0" w:evenHBand="0" w:firstRowFirstColumn="0" w:firstRowLastColumn="0" w:lastRowFirstColumn="0" w:lastRowLastColumn="0"/>
            </w:pPr>
            <w:r>
              <w:t xml:space="preserve">QA LG </w:t>
            </w:r>
          </w:p>
        </w:tc>
      </w:tr>
      <w:bookmarkEnd w:id="0"/>
    </w:tbl>
    <w:p w:rsidR="00175BFD" w:rsidP="00554539" w:rsidRDefault="00175BFD" w14:paraId="0E29509B" w14:textId="77777777">
      <w:pPr>
        <w:spacing w:before="0" w:after="160" w:line="259" w:lineRule="auto"/>
      </w:pPr>
    </w:p>
    <w:tbl>
      <w:tblPr>
        <w:tblStyle w:val="GridTable4"/>
        <w:tblW w:w="10343" w:type="dxa"/>
        <w:tblLook w:val="06A0" w:firstRow="1" w:lastRow="0" w:firstColumn="1" w:lastColumn="0" w:noHBand="1" w:noVBand="1"/>
      </w:tblPr>
      <w:tblGrid>
        <w:gridCol w:w="2548"/>
        <w:gridCol w:w="7795"/>
      </w:tblGrid>
      <w:tr w:rsidRPr="004B455B" w:rsidR="007A693F" w:rsidTr="08E3BF6F" w14:paraId="5431538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Mar/>
          </w:tcPr>
          <w:p w:rsidRPr="009F393B" w:rsidR="007A693F" w:rsidP="007B5F1E" w:rsidRDefault="007A693F" w14:paraId="2A588DE6" w14:textId="3D641060">
            <w:pPr>
              <w:pStyle w:val="Tableheading1"/>
            </w:pPr>
            <w:r>
              <w:t xml:space="preserve">About the Role </w:t>
            </w:r>
          </w:p>
        </w:tc>
        <w:tc>
          <w:tcPr>
            <w:cnfStyle w:val="000000000000" w:firstRow="0" w:lastRow="0" w:firstColumn="0" w:lastColumn="0" w:oddVBand="0" w:evenVBand="0" w:oddHBand="0" w:evenHBand="0" w:firstRowFirstColumn="0" w:firstRowLastColumn="0" w:lastRowFirstColumn="0" w:lastRowLastColumn="0"/>
            <w:tcW w:w="7795" w:type="dxa"/>
            <w:tcMar/>
          </w:tcPr>
          <w:p w:rsidRPr="004B455B" w:rsidR="007A693F" w:rsidP="007B5F1E" w:rsidRDefault="007A693F" w14:paraId="22488C0B" w14:textId="77777777">
            <w:pPr>
              <w:pStyle w:val="Table"/>
              <w:cnfStyle w:val="100000000000" w:firstRow="1" w:lastRow="0" w:firstColumn="0" w:lastColumn="0" w:oddVBand="0" w:evenVBand="0" w:oddHBand="0" w:evenHBand="0" w:firstRowFirstColumn="0" w:firstRowLastColumn="0" w:lastRowFirstColumn="0" w:lastRowLastColumn="0"/>
            </w:pPr>
          </w:p>
        </w:tc>
      </w:tr>
      <w:tr w:rsidRPr="004B455B" w:rsidR="007A693F" w:rsidTr="08E3BF6F" w14:paraId="562E7046" w14:textId="77777777">
        <w:tc>
          <w:tcPr>
            <w:cnfStyle w:val="001000000000" w:firstRow="0" w:lastRow="0" w:firstColumn="1" w:lastColumn="0" w:oddVBand="0" w:evenVBand="0" w:oddHBand="0" w:evenHBand="0" w:firstRowFirstColumn="0" w:firstRowLastColumn="0" w:lastRowFirstColumn="0" w:lastRowLastColumn="0"/>
            <w:tcW w:w="2548" w:type="dxa"/>
            <w:tcMar/>
          </w:tcPr>
          <w:p w:rsidRPr="00F02405" w:rsidR="007A693F" w:rsidP="007B5F1E" w:rsidRDefault="003A186D" w14:paraId="035DE0C6" w14:textId="3EA2CEBC">
            <w:pPr>
              <w:pStyle w:val="Table"/>
              <w:rPr>
                <w:b w:val="0"/>
                <w:bCs w:val="0"/>
              </w:rPr>
            </w:pPr>
            <w:r>
              <w:rPr>
                <w:b w:val="0"/>
                <w:bCs w:val="0"/>
              </w:rPr>
              <w:t>Role overview</w:t>
            </w:r>
          </w:p>
        </w:tc>
        <w:tc>
          <w:tcPr>
            <w:cnfStyle w:val="000000000000" w:firstRow="0" w:lastRow="0" w:firstColumn="0" w:lastColumn="0" w:oddVBand="0" w:evenVBand="0" w:oddHBand="0" w:evenHBand="0" w:firstRowFirstColumn="0" w:firstRowLastColumn="0" w:lastRowFirstColumn="0" w:lastRowLastColumn="0"/>
            <w:tcW w:w="7795" w:type="dxa"/>
            <w:tcMar/>
          </w:tcPr>
          <w:p w:rsidRPr="002D15D5" w:rsidR="002D15D5" w:rsidP="002D15D5" w:rsidRDefault="002D15D5" w14:paraId="0CB60310" w14:textId="77777777">
            <w:pPr>
              <w:pStyle w:val="Table"/>
              <w:cnfStyle w:val="000000000000" w:firstRow="0" w:lastRow="0" w:firstColumn="0" w:lastColumn="0" w:oddVBand="0" w:evenVBand="0" w:oddHBand="0" w:evenHBand="0" w:firstRowFirstColumn="0" w:firstRowLastColumn="0" w:lastRowFirstColumn="0" w:lastRowLastColumn="0"/>
              <w:rPr>
                <w:color w:val="auto"/>
              </w:rPr>
            </w:pPr>
            <w:r w:rsidRPr="002D15D5">
              <w:rPr>
                <w:color w:val="auto"/>
              </w:rPr>
              <w:t>The Senior Service Delivery Specialist is the operational owner for third</w:t>
            </w:r>
            <w:r w:rsidRPr="002D15D5">
              <w:rPr>
                <w:color w:val="auto"/>
              </w:rPr>
              <w:noBreakHyphen/>
            </w:r>
            <w:r w:rsidRPr="002D15D5">
              <w:rPr>
                <w:color w:val="auto"/>
              </w:rPr>
              <w:t>party (3P) service delivery activity, with responsibility for managing the end</w:t>
            </w:r>
            <w:r w:rsidRPr="002D15D5">
              <w:rPr>
                <w:color w:val="auto"/>
              </w:rPr>
              <w:noBreakHyphen/>
            </w:r>
            <w:r w:rsidRPr="002D15D5">
              <w:rPr>
                <w:color w:val="auto"/>
              </w:rPr>
              <w:t>to</w:t>
            </w:r>
            <w:r w:rsidRPr="002D15D5">
              <w:rPr>
                <w:color w:val="auto"/>
              </w:rPr>
              <w:noBreakHyphen/>
            </w:r>
            <w:r w:rsidRPr="002D15D5">
              <w:rPr>
                <w:color w:val="auto"/>
              </w:rPr>
              <w:t>end 3P onboarding process and associated operational readiness. The role also acts as the deputy to the Workstream Lead for Service Centre workflow, providing support, oversight, and continuity to ensure day</w:t>
            </w:r>
            <w:r w:rsidRPr="002D15D5">
              <w:rPr>
                <w:color w:val="auto"/>
              </w:rPr>
              <w:noBreakHyphen/>
            </w:r>
            <w:r w:rsidRPr="002D15D5">
              <w:rPr>
                <w:color w:val="auto"/>
              </w:rPr>
              <w:t>to</w:t>
            </w:r>
            <w:r w:rsidRPr="002D15D5">
              <w:rPr>
                <w:color w:val="auto"/>
              </w:rPr>
              <w:noBreakHyphen/>
            </w:r>
            <w:r w:rsidRPr="002D15D5">
              <w:rPr>
                <w:color w:val="auto"/>
              </w:rPr>
              <w:t>day operations run smoothly.</w:t>
            </w:r>
          </w:p>
          <w:p w:rsidRPr="002D15D5" w:rsidR="002D15D5" w:rsidP="08E3BF6F" w:rsidRDefault="002D15D5" w14:paraId="3DA02A5F" w14:textId="6DBFE120">
            <w:pPr>
              <w:pStyle w:val="Table"/>
              <w:cnfStyle w:val="000000000000" w:firstRow="0" w:lastRow="0" w:firstColumn="0" w:lastColumn="0" w:oddVBand="0" w:evenVBand="0" w:oddHBand="0" w:evenHBand="0" w:firstRowFirstColumn="0" w:firstRowLastColumn="0" w:lastRowFirstColumn="0" w:lastRowLastColumn="0"/>
              <w:rPr>
                <w:color w:val="auto"/>
              </w:rPr>
            </w:pPr>
            <w:r w:rsidRPr="08E3BF6F" w:rsidR="002D15D5">
              <w:rPr>
                <w:rFonts w:ascii="Figtree" w:hAnsi="Figtree" w:eastAsia="Figtree" w:cs="" w:asciiTheme="minorAscii" w:hAnsiTheme="minorAscii" w:eastAsiaTheme="minorAscii" w:cstheme="minorBidi"/>
                <w:color w:val="auto"/>
                <w:sz w:val="20"/>
                <w:szCs w:val="20"/>
                <w:lang w:eastAsia="en-US" w:bidi="ar-SA"/>
              </w:rPr>
              <w:t xml:space="preserve">The role owns the operational management of 3P onboarding, acting as the central point of coordination between internal teams, Procurement, and external </w:t>
            </w:r>
            <w:r w:rsidRPr="08E3BF6F" w:rsidR="00223EE2">
              <w:rPr>
                <w:rFonts w:ascii="Figtree" w:hAnsi="Figtree" w:eastAsia="Figtree" w:cs="" w:asciiTheme="minorAscii" w:hAnsiTheme="minorAscii" w:eastAsiaTheme="minorAscii" w:cstheme="minorBidi"/>
                <w:color w:val="auto"/>
                <w:sz w:val="20"/>
                <w:szCs w:val="20"/>
                <w:lang w:eastAsia="en-US" w:bidi="ar-SA"/>
              </w:rPr>
              <w:t>customers</w:t>
            </w:r>
            <w:r w:rsidRPr="08E3BF6F" w:rsidR="002D15D5">
              <w:rPr>
                <w:rFonts w:ascii="Figtree" w:hAnsi="Figtree" w:eastAsia="Figtree" w:cs="" w:asciiTheme="minorAscii" w:hAnsiTheme="minorAscii" w:eastAsiaTheme="minorAscii" w:cstheme="minorBidi"/>
                <w:color w:val="auto"/>
                <w:sz w:val="20"/>
                <w:szCs w:val="20"/>
                <w:lang w:eastAsia="en-US" w:bidi="ar-SA"/>
              </w:rPr>
              <w:t>. A key aspect of the role is proactively engaging external customers, ensuring they are kept informed throughout the onboarding journey and that expectations are managed through to confirmation of readiness for service. Once onboarding is complete, the role also leads associated 3P quoting activity, ensuring accurate and timely information is produced and communicated to enable onward delivery.</w:t>
            </w:r>
          </w:p>
          <w:p w:rsidRPr="002D15D5" w:rsidR="002D15D5" w:rsidP="002D15D5" w:rsidRDefault="002D15D5" w14:paraId="448642C5" w14:textId="77777777">
            <w:pPr>
              <w:pStyle w:val="Table"/>
              <w:cnfStyle w:val="000000000000" w:firstRow="0" w:lastRow="0" w:firstColumn="0" w:lastColumn="0" w:oddVBand="0" w:evenVBand="0" w:oddHBand="0" w:evenHBand="0" w:firstRowFirstColumn="0" w:firstRowLastColumn="0" w:lastRowFirstColumn="0" w:lastRowLastColumn="0"/>
              <w:rPr>
                <w:color w:val="auto"/>
              </w:rPr>
            </w:pPr>
            <w:r w:rsidRPr="002D15D5">
              <w:rPr>
                <w:color w:val="auto"/>
              </w:rPr>
              <w:t>Alongside ownership of 3P activity, the Senior Service Delivery Specialist supports and deputises for the Workstream Lead in Service Centre workflow management. This includes overseeing the flow of bookings, enquiries, and administrative work, supporting prioritisation and workload balance, and helping ensure service performance remains within agreed SLAs and quality standards. The role provides hands</w:t>
            </w:r>
            <w:r w:rsidRPr="002D15D5">
              <w:rPr>
                <w:color w:val="auto"/>
              </w:rPr>
              <w:noBreakHyphen/>
            </w:r>
            <w:r w:rsidRPr="002D15D5">
              <w:rPr>
                <w:color w:val="auto"/>
              </w:rPr>
              <w:t>on operational support during periods of peak demand and contributes to resolving day</w:t>
            </w:r>
            <w:r w:rsidRPr="002D15D5">
              <w:rPr>
                <w:color w:val="auto"/>
              </w:rPr>
              <w:noBreakHyphen/>
            </w:r>
            <w:r w:rsidRPr="002D15D5">
              <w:rPr>
                <w:color w:val="auto"/>
              </w:rPr>
              <w:t>to</w:t>
            </w:r>
            <w:r w:rsidRPr="002D15D5">
              <w:rPr>
                <w:color w:val="auto"/>
              </w:rPr>
              <w:noBreakHyphen/>
            </w:r>
            <w:r w:rsidRPr="002D15D5">
              <w:rPr>
                <w:color w:val="auto"/>
              </w:rPr>
              <w:t>day operational issues.</w:t>
            </w:r>
          </w:p>
          <w:p w:rsidRPr="002D15D5" w:rsidR="002D15D5" w:rsidP="002D15D5" w:rsidRDefault="002D15D5" w14:paraId="6DBC6B9C" w14:textId="77777777">
            <w:pPr>
              <w:pStyle w:val="Table"/>
              <w:cnfStyle w:val="000000000000" w:firstRow="0" w:lastRow="0" w:firstColumn="0" w:lastColumn="0" w:oddVBand="0" w:evenVBand="0" w:oddHBand="0" w:evenHBand="0" w:firstRowFirstColumn="0" w:firstRowLastColumn="0" w:lastRowFirstColumn="0" w:lastRowLastColumn="0"/>
              <w:rPr>
                <w:color w:val="auto"/>
              </w:rPr>
            </w:pPr>
            <w:r w:rsidRPr="002D15D5">
              <w:rPr>
                <w:color w:val="auto"/>
              </w:rPr>
              <w:t>Working closely with the Workstream Lead, the role provides operational insight across both 3P and internal workflow activity, identifying risks, delays, or emerging pressures and escalating where appropriate. The Senior Service Delivery Specialist contributes to operational reporting, supports continuous improvement, and helps embed consistent ways of working across the service.</w:t>
            </w:r>
          </w:p>
          <w:p w:rsidRPr="004B455B" w:rsidR="007A693F" w:rsidP="00357B11" w:rsidRDefault="002D15D5" w14:paraId="4384BC09" w14:textId="31229D56">
            <w:pPr>
              <w:pStyle w:val="Table"/>
              <w:cnfStyle w:val="000000000000" w:firstRow="0" w:lastRow="0" w:firstColumn="0" w:lastColumn="0" w:oddVBand="0" w:evenVBand="0" w:oddHBand="0" w:evenHBand="0" w:firstRowFirstColumn="0" w:firstRowLastColumn="0" w:lastRowFirstColumn="0" w:lastRowLastColumn="0"/>
            </w:pPr>
            <w:r w:rsidRPr="002D15D5">
              <w:rPr>
                <w:color w:val="auto"/>
              </w:rPr>
              <w:t>During periods of Workstream Lead absence, the role provides operational cover for workflow leadership, ensuring continuity of service, effective decision</w:t>
            </w:r>
            <w:r w:rsidRPr="002D15D5">
              <w:rPr>
                <w:color w:val="auto"/>
              </w:rPr>
              <w:noBreakHyphen/>
            </w:r>
            <w:r w:rsidRPr="002D15D5">
              <w:rPr>
                <w:color w:val="auto"/>
              </w:rPr>
              <w:t>making, and clear communication with customers and internal stakeholders. With strong organisational skills and the ability to coordinate across multiple teams, the role plays a critical part in enabling reliable service delivery across both third</w:t>
            </w:r>
            <w:r w:rsidRPr="002D15D5">
              <w:rPr>
                <w:color w:val="auto"/>
              </w:rPr>
              <w:noBreakHyphen/>
            </w:r>
            <w:r w:rsidRPr="002D15D5">
              <w:rPr>
                <w:color w:val="auto"/>
              </w:rPr>
              <w:t>party and internal operations.</w:t>
            </w:r>
          </w:p>
        </w:tc>
      </w:tr>
      <w:tr w:rsidRPr="004B455B" w:rsidR="007A693F" w:rsidTr="08E3BF6F" w14:paraId="5F718EFF" w14:textId="77777777">
        <w:trPr>
          <w:trHeight w:val="85"/>
        </w:trPr>
        <w:tc>
          <w:tcPr>
            <w:cnfStyle w:val="001000000000" w:firstRow="0" w:lastRow="0" w:firstColumn="1" w:lastColumn="0" w:oddVBand="0" w:evenVBand="0" w:oddHBand="0" w:evenHBand="0" w:firstRowFirstColumn="0" w:firstRowLastColumn="0" w:lastRowFirstColumn="0" w:lastRowLastColumn="0"/>
            <w:tcW w:w="2548" w:type="dxa"/>
            <w:tcMar/>
          </w:tcPr>
          <w:p w:rsidRPr="00F02405" w:rsidR="007A693F" w:rsidP="007B5F1E" w:rsidRDefault="00255763" w14:paraId="4E960073" w14:textId="5409BDE2">
            <w:pPr>
              <w:pStyle w:val="TableBullet"/>
              <w:numPr>
                <w:ilvl w:val="0"/>
                <w:numId w:val="0"/>
              </w:numPr>
              <w:ind w:left="306" w:hanging="284"/>
              <w:rPr>
                <w:b w:val="0"/>
                <w:bCs w:val="0"/>
              </w:rPr>
            </w:pPr>
            <w:r>
              <w:rPr>
                <w:b w:val="0"/>
                <w:bCs w:val="0"/>
              </w:rPr>
              <w:t>Key responsibilities</w:t>
            </w:r>
          </w:p>
        </w:tc>
        <w:tc>
          <w:tcPr>
            <w:cnfStyle w:val="000000000000" w:firstRow="0" w:lastRow="0" w:firstColumn="0" w:lastColumn="0" w:oddVBand="0" w:evenVBand="0" w:oddHBand="0" w:evenHBand="0" w:firstRowFirstColumn="0" w:firstRowLastColumn="0" w:lastRowFirstColumn="0" w:lastRowLastColumn="0"/>
            <w:tcW w:w="7795" w:type="dxa"/>
            <w:tcMar/>
          </w:tcPr>
          <w:p w:rsidRPr="009513CC" w:rsidR="009513CC" w:rsidP="009513CC" w:rsidRDefault="009513CC" w14:paraId="7EDD285D" w14:textId="2F761808">
            <w:pPr>
              <w:pStyle w:val="Table"/>
              <w:numPr>
                <w:ilvl w:val="0"/>
                <w:numId w:val="16"/>
              </w:numPr>
              <w:cnfStyle w:val="000000000000" w:firstRow="0" w:lastRow="0" w:firstColumn="0" w:lastColumn="0" w:oddVBand="0" w:evenVBand="0" w:oddHBand="0" w:evenHBand="0" w:firstRowFirstColumn="0" w:firstRowLastColumn="0" w:lastRowFirstColumn="0" w:lastRowLastColumn="0"/>
            </w:pPr>
            <w:r w:rsidRPr="009513CC">
              <w:t>Own the end</w:t>
            </w:r>
            <w:r w:rsidRPr="009513CC">
              <w:noBreakHyphen/>
            </w:r>
            <w:r w:rsidRPr="009513CC">
              <w:t>to</w:t>
            </w:r>
            <w:r w:rsidRPr="009513CC">
              <w:noBreakHyphen/>
            </w:r>
            <w:r w:rsidRPr="009513CC">
              <w:t>end operational delivery of third</w:t>
            </w:r>
            <w:r w:rsidRPr="009513CC">
              <w:noBreakHyphen/>
            </w:r>
            <w:r w:rsidRPr="009513CC">
              <w:t xml:space="preserve">party (3P) onboarding, ensuring readiness for service is achieved to agreed timelines and standards. </w:t>
            </w:r>
          </w:p>
          <w:p w:rsidRPr="009513CC" w:rsidR="009513CC" w:rsidP="009513CC" w:rsidRDefault="009513CC" w14:paraId="05627DD6" w14:textId="1FAFECD8">
            <w:pPr>
              <w:pStyle w:val="Table"/>
              <w:numPr>
                <w:ilvl w:val="0"/>
                <w:numId w:val="16"/>
              </w:numPr>
              <w:cnfStyle w:val="000000000000" w:firstRow="0" w:lastRow="0" w:firstColumn="0" w:lastColumn="0" w:oddVBand="0" w:evenVBand="0" w:oddHBand="0" w:evenHBand="0" w:firstRowFirstColumn="0" w:firstRowLastColumn="0" w:lastRowFirstColumn="0" w:lastRowLastColumn="0"/>
            </w:pPr>
            <w:r w:rsidRPr="009513CC">
              <w:t xml:space="preserve">Act as the central coordination point for 3P onboarding activity across internal teams, Procurement, and external customers. </w:t>
            </w:r>
          </w:p>
          <w:p w:rsidRPr="009513CC" w:rsidR="009513CC" w:rsidP="009513CC" w:rsidRDefault="009513CC" w14:paraId="2E822C92" w14:textId="63C85BE9">
            <w:pPr>
              <w:pStyle w:val="Table"/>
              <w:numPr>
                <w:ilvl w:val="0"/>
                <w:numId w:val="16"/>
              </w:numPr>
              <w:cnfStyle w:val="000000000000" w:firstRow="0" w:lastRow="0" w:firstColumn="0" w:lastColumn="0" w:oddVBand="0" w:evenVBand="0" w:oddHBand="0" w:evenHBand="0" w:firstRowFirstColumn="0" w:firstRowLastColumn="0" w:lastRowFirstColumn="0" w:lastRowLastColumn="0"/>
            </w:pPr>
            <w:r w:rsidRPr="009513CC">
              <w:t xml:space="preserve">Proactively manage and communicate with external customers throughout the onboarding journey, providing clear updates and managing expectations. </w:t>
            </w:r>
          </w:p>
          <w:p w:rsidRPr="009513CC" w:rsidR="009513CC" w:rsidP="009513CC" w:rsidRDefault="009513CC" w14:paraId="52F4AEDC" w14:textId="0095D694">
            <w:pPr>
              <w:pStyle w:val="Table"/>
              <w:numPr>
                <w:ilvl w:val="0"/>
                <w:numId w:val="16"/>
              </w:numPr>
              <w:cnfStyle w:val="000000000000" w:firstRow="0" w:lastRow="0" w:firstColumn="0" w:lastColumn="0" w:oddVBand="0" w:evenVBand="0" w:oddHBand="0" w:evenHBand="0" w:firstRowFirstColumn="0" w:firstRowLastColumn="0" w:lastRowFirstColumn="0" w:lastRowLastColumn="0"/>
            </w:pPr>
            <w:r w:rsidRPr="009513CC">
              <w:t xml:space="preserve">Lead associated 3P quoting activity following onboarding confirmation, ensuring accurate, timely information is produced and communicated. </w:t>
            </w:r>
          </w:p>
          <w:p w:rsidRPr="009513CC" w:rsidR="009513CC" w:rsidP="009513CC" w:rsidRDefault="009513CC" w14:paraId="0FE51540" w14:textId="555864F0">
            <w:pPr>
              <w:pStyle w:val="Table"/>
              <w:numPr>
                <w:ilvl w:val="0"/>
                <w:numId w:val="16"/>
              </w:numPr>
              <w:cnfStyle w:val="000000000000" w:firstRow="0" w:lastRow="0" w:firstColumn="0" w:lastColumn="0" w:oddVBand="0" w:evenVBand="0" w:oddHBand="0" w:evenHBand="0" w:firstRowFirstColumn="0" w:firstRowLastColumn="0" w:lastRowFirstColumn="0" w:lastRowLastColumn="0"/>
            </w:pPr>
            <w:r w:rsidRPr="009513CC">
              <w:t>Deputise for the Workstream Lead in Service Centre workflow management, supporting prioritisation, capacity management, and day</w:t>
            </w:r>
            <w:r w:rsidRPr="009513CC">
              <w:noBreakHyphen/>
            </w:r>
            <w:r w:rsidRPr="009513CC">
              <w:t>to</w:t>
            </w:r>
            <w:r w:rsidRPr="009513CC">
              <w:noBreakHyphen/>
            </w:r>
            <w:r w:rsidRPr="009513CC">
              <w:t xml:space="preserve">day operational flow. </w:t>
            </w:r>
          </w:p>
          <w:p w:rsidRPr="009513CC" w:rsidR="009513CC" w:rsidP="009513CC" w:rsidRDefault="009513CC" w14:paraId="626CFE3B" w14:textId="6988E073">
            <w:pPr>
              <w:pStyle w:val="Table"/>
              <w:numPr>
                <w:ilvl w:val="0"/>
                <w:numId w:val="16"/>
              </w:numPr>
              <w:cnfStyle w:val="000000000000" w:firstRow="0" w:lastRow="0" w:firstColumn="0" w:lastColumn="0" w:oddVBand="0" w:evenVBand="0" w:oddHBand="0" w:evenHBand="0" w:firstRowFirstColumn="0" w:firstRowLastColumn="0" w:lastRowFirstColumn="0" w:lastRowLastColumn="0"/>
            </w:pPr>
            <w:r w:rsidRPr="009513CC">
              <w:t xml:space="preserve">Oversee the progression of bookings, enquiries, and administrative work to maintain SLA and quality performance. </w:t>
            </w:r>
          </w:p>
          <w:p w:rsidRPr="009513CC" w:rsidR="009513CC" w:rsidP="009513CC" w:rsidRDefault="009513CC" w14:paraId="0A62104D" w14:textId="2B3CDD4A">
            <w:pPr>
              <w:pStyle w:val="Table"/>
              <w:numPr>
                <w:ilvl w:val="0"/>
                <w:numId w:val="16"/>
              </w:numPr>
              <w:cnfStyle w:val="000000000000" w:firstRow="0" w:lastRow="0" w:firstColumn="0" w:lastColumn="0" w:oddVBand="0" w:evenVBand="0" w:oddHBand="0" w:evenHBand="0" w:firstRowFirstColumn="0" w:firstRowLastColumn="0" w:lastRowFirstColumn="0" w:lastRowLastColumn="0"/>
            </w:pPr>
            <w:r w:rsidRPr="009513CC">
              <w:t>Provide hands</w:t>
            </w:r>
            <w:r w:rsidRPr="009513CC">
              <w:noBreakHyphen/>
            </w:r>
            <w:r w:rsidRPr="009513CC">
              <w:t>on operational support during periods of peak demand and contribute to resolving day</w:t>
            </w:r>
            <w:r w:rsidRPr="009513CC">
              <w:noBreakHyphen/>
            </w:r>
            <w:r w:rsidRPr="009513CC">
              <w:t>to</w:t>
            </w:r>
            <w:r w:rsidRPr="009513CC">
              <w:noBreakHyphen/>
            </w:r>
            <w:r w:rsidRPr="009513CC">
              <w:t xml:space="preserve">day operational issues. </w:t>
            </w:r>
          </w:p>
          <w:p w:rsidRPr="009513CC" w:rsidR="009513CC" w:rsidP="009513CC" w:rsidRDefault="009513CC" w14:paraId="6F181EE7" w14:textId="7DE837AD">
            <w:pPr>
              <w:pStyle w:val="Table"/>
              <w:numPr>
                <w:ilvl w:val="0"/>
                <w:numId w:val="16"/>
              </w:numPr>
              <w:cnfStyle w:val="000000000000" w:firstRow="0" w:lastRow="0" w:firstColumn="0" w:lastColumn="0" w:oddVBand="0" w:evenVBand="0" w:oddHBand="0" w:evenHBand="0" w:firstRowFirstColumn="0" w:firstRowLastColumn="0" w:lastRowFirstColumn="0" w:lastRowLastColumn="0"/>
            </w:pPr>
            <w:r w:rsidRPr="009513CC">
              <w:t xml:space="preserve">Identify, manage, and escalate operational risks, delays, and blockers across both 3P and internal workflow activity. </w:t>
            </w:r>
          </w:p>
          <w:p w:rsidRPr="009513CC" w:rsidR="009513CC" w:rsidP="009513CC" w:rsidRDefault="009513CC" w14:paraId="0B668852" w14:textId="56E364DA">
            <w:pPr>
              <w:pStyle w:val="Table"/>
              <w:numPr>
                <w:ilvl w:val="0"/>
                <w:numId w:val="16"/>
              </w:numPr>
              <w:cnfStyle w:val="000000000000" w:firstRow="0" w:lastRow="0" w:firstColumn="0" w:lastColumn="0" w:oddVBand="0" w:evenVBand="0" w:oddHBand="0" w:evenHBand="0" w:firstRowFirstColumn="0" w:firstRowLastColumn="0" w:lastRowFirstColumn="0" w:lastRowLastColumn="0"/>
            </w:pPr>
            <w:r w:rsidRPr="009513CC">
              <w:t>Contribute to operational reporting, continuous improvement, and the embedding of consistent ways of working across the service.</w:t>
            </w:r>
          </w:p>
          <w:p w:rsidRPr="002908A0" w:rsidR="00102B71" w:rsidP="005208C2" w:rsidRDefault="00102B71" w14:paraId="6B9C1F81" w14:textId="7CACCCF9">
            <w:pPr>
              <w:pStyle w:val="Table"/>
              <w:cnfStyle w:val="000000000000" w:firstRow="0" w:lastRow="0" w:firstColumn="0" w:lastColumn="0" w:oddVBand="0" w:evenVBand="0" w:oddHBand="0" w:evenHBand="0" w:firstRowFirstColumn="0" w:firstRowLastColumn="0" w:lastRowFirstColumn="0" w:lastRowLastColumn="0"/>
            </w:pPr>
          </w:p>
        </w:tc>
      </w:tr>
      <w:tr w:rsidRPr="004B455B" w:rsidR="00AA0CB9" w:rsidTr="08E3BF6F" w14:paraId="707716E4" w14:textId="77777777">
        <w:trPr>
          <w:trHeight w:val="85"/>
        </w:trPr>
        <w:tc>
          <w:tcPr>
            <w:cnfStyle w:val="001000000000" w:firstRow="0" w:lastRow="0" w:firstColumn="1" w:lastColumn="0" w:oddVBand="0" w:evenVBand="0" w:oddHBand="0" w:evenHBand="0" w:firstRowFirstColumn="0" w:firstRowLastColumn="0" w:lastRowFirstColumn="0" w:lastRowLastColumn="0"/>
            <w:tcW w:w="2548" w:type="dxa"/>
            <w:tcMar/>
          </w:tcPr>
          <w:p w:rsidR="00AA0CB9" w:rsidP="007B5F1E" w:rsidRDefault="00AA0CB9" w14:paraId="512DA6A9" w14:textId="600C32CF">
            <w:pPr>
              <w:pStyle w:val="TableBullet"/>
              <w:numPr>
                <w:ilvl w:val="0"/>
                <w:numId w:val="0"/>
              </w:numPr>
              <w:ind w:left="306" w:hanging="284"/>
              <w:rPr>
                <w:b w:val="0"/>
                <w:bCs w:val="0"/>
              </w:rPr>
            </w:pPr>
            <w:r>
              <w:rPr>
                <w:b w:val="0"/>
                <w:bCs w:val="0"/>
              </w:rPr>
              <w:t>Experience</w:t>
            </w:r>
          </w:p>
        </w:tc>
        <w:tc>
          <w:tcPr>
            <w:cnfStyle w:val="000000000000" w:firstRow="0" w:lastRow="0" w:firstColumn="0" w:lastColumn="0" w:oddVBand="0" w:evenVBand="0" w:oddHBand="0" w:evenHBand="0" w:firstRowFirstColumn="0" w:firstRowLastColumn="0" w:lastRowFirstColumn="0" w:lastRowLastColumn="0"/>
            <w:tcW w:w="7795" w:type="dxa"/>
            <w:tcMar/>
          </w:tcPr>
          <w:p w:rsidRPr="000E53CF" w:rsidR="000E53CF" w:rsidP="000E53CF" w:rsidRDefault="000E53CF" w14:paraId="752A9085" w14:textId="77777777">
            <w:pPr>
              <w:pStyle w:val="Table"/>
              <w:cnfStyle w:val="000000000000" w:firstRow="0" w:lastRow="0" w:firstColumn="0" w:lastColumn="0" w:oddVBand="0" w:evenVBand="0" w:oddHBand="0" w:evenHBand="0" w:firstRowFirstColumn="0" w:firstRowLastColumn="0" w:lastRowFirstColumn="0" w:lastRowLastColumn="0"/>
              <w:rPr>
                <w:b/>
                <w:bCs/>
              </w:rPr>
            </w:pPr>
            <w:r w:rsidRPr="000E53CF">
              <w:rPr>
                <w:b/>
                <w:bCs/>
              </w:rPr>
              <w:t>Essential Experience</w:t>
            </w:r>
          </w:p>
          <w:p w:rsidRPr="000E53CF" w:rsidR="000E53CF" w:rsidP="000E53CF" w:rsidRDefault="000E53CF" w14:paraId="7CF72830" w14:textId="77777777">
            <w:pPr>
              <w:pStyle w:val="Table"/>
              <w:numPr>
                <w:ilvl w:val="0"/>
                <w:numId w:val="17"/>
              </w:numPr>
              <w:cnfStyle w:val="000000000000" w:firstRow="0" w:lastRow="0" w:firstColumn="0" w:lastColumn="0" w:oddVBand="0" w:evenVBand="0" w:oddHBand="0" w:evenHBand="0" w:firstRowFirstColumn="0" w:firstRowLastColumn="0" w:lastRowFirstColumn="0" w:lastRowLastColumn="0"/>
            </w:pPr>
            <w:r w:rsidRPr="000E53CF">
              <w:t>Experience in an operational service delivery, service coordination, or service management role, ideally within a complex or multi</w:t>
            </w:r>
            <w:r w:rsidRPr="000E53CF">
              <w:noBreakHyphen/>
            </w:r>
            <w:r w:rsidRPr="000E53CF">
              <w:t>team environment.</w:t>
            </w:r>
          </w:p>
          <w:p w:rsidRPr="000E53CF" w:rsidR="000E53CF" w:rsidP="000E53CF" w:rsidRDefault="000E53CF" w14:paraId="30CDAC9B" w14:textId="77777777">
            <w:pPr>
              <w:pStyle w:val="Table"/>
              <w:numPr>
                <w:ilvl w:val="0"/>
                <w:numId w:val="17"/>
              </w:numPr>
              <w:cnfStyle w:val="000000000000" w:firstRow="0" w:lastRow="0" w:firstColumn="0" w:lastColumn="0" w:oddVBand="0" w:evenVBand="0" w:oddHBand="0" w:evenHBand="0" w:firstRowFirstColumn="0" w:firstRowLastColumn="0" w:lastRowFirstColumn="0" w:lastRowLastColumn="0"/>
            </w:pPr>
            <w:r w:rsidRPr="000E53CF">
              <w:t>Proven experience of owning and managing operational processes end</w:t>
            </w:r>
            <w:r w:rsidRPr="000E53CF">
              <w:noBreakHyphen/>
            </w:r>
            <w:r w:rsidRPr="000E53CF">
              <w:t>to</w:t>
            </w:r>
            <w:r w:rsidRPr="000E53CF">
              <w:noBreakHyphen/>
            </w:r>
            <w:r w:rsidRPr="000E53CF">
              <w:t>end, ensuring work progresses to agreed timelines, standards, and customer expectations.</w:t>
            </w:r>
          </w:p>
          <w:p w:rsidRPr="000E53CF" w:rsidR="000E53CF" w:rsidP="000E53CF" w:rsidRDefault="000E53CF" w14:paraId="5D6370D3" w14:textId="77777777">
            <w:pPr>
              <w:pStyle w:val="Table"/>
              <w:numPr>
                <w:ilvl w:val="0"/>
                <w:numId w:val="17"/>
              </w:numPr>
              <w:cnfStyle w:val="000000000000" w:firstRow="0" w:lastRow="0" w:firstColumn="0" w:lastColumn="0" w:oddVBand="0" w:evenVBand="0" w:oddHBand="0" w:evenHBand="0" w:firstRowFirstColumn="0" w:firstRowLastColumn="0" w:lastRowFirstColumn="0" w:lastRowLastColumn="0"/>
            </w:pPr>
            <w:r w:rsidRPr="000E53CF">
              <w:t>Hands</w:t>
            </w:r>
            <w:r w:rsidRPr="000E53CF">
              <w:noBreakHyphen/>
            </w:r>
            <w:r w:rsidRPr="000E53CF">
              <w:t>on experience coordinating activity across multiple internal teams and managing dependencies to keep work moving.</w:t>
            </w:r>
          </w:p>
          <w:p w:rsidRPr="000E53CF" w:rsidR="000E53CF" w:rsidP="000E53CF" w:rsidRDefault="000E53CF" w14:paraId="4AEC4989" w14:textId="77777777">
            <w:pPr>
              <w:pStyle w:val="Table"/>
              <w:numPr>
                <w:ilvl w:val="0"/>
                <w:numId w:val="17"/>
              </w:numPr>
              <w:cnfStyle w:val="000000000000" w:firstRow="0" w:lastRow="0" w:firstColumn="0" w:lastColumn="0" w:oddVBand="0" w:evenVBand="0" w:oddHBand="0" w:evenHBand="0" w:firstRowFirstColumn="0" w:firstRowLastColumn="0" w:lastRowFirstColumn="0" w:lastRowLastColumn="0"/>
            </w:pPr>
            <w:r w:rsidRPr="000E53CF">
              <w:t>Experience of engaging directly with external customers, providing structured updates, managing expectations, and maintaining confidence during delivery activity.</w:t>
            </w:r>
          </w:p>
          <w:p w:rsidRPr="000E53CF" w:rsidR="000E53CF" w:rsidP="000E53CF" w:rsidRDefault="000E53CF" w14:paraId="65CDE269" w14:textId="77777777">
            <w:pPr>
              <w:pStyle w:val="Table"/>
              <w:numPr>
                <w:ilvl w:val="0"/>
                <w:numId w:val="17"/>
              </w:numPr>
              <w:cnfStyle w:val="000000000000" w:firstRow="0" w:lastRow="0" w:firstColumn="0" w:lastColumn="0" w:oddVBand="0" w:evenVBand="0" w:oddHBand="0" w:evenHBand="0" w:firstRowFirstColumn="0" w:firstRowLastColumn="0" w:lastRowFirstColumn="0" w:lastRowLastColumn="0"/>
            </w:pPr>
            <w:r w:rsidRPr="000E53CF">
              <w:t>Demonstrable experience in workflow or workload management, including prioritisation, balancing demand, and supporting SLA performance.</w:t>
            </w:r>
          </w:p>
          <w:p w:rsidRPr="000E53CF" w:rsidR="000E53CF" w:rsidP="000E53CF" w:rsidRDefault="000E53CF" w14:paraId="2673C796" w14:textId="77777777">
            <w:pPr>
              <w:pStyle w:val="Table"/>
              <w:numPr>
                <w:ilvl w:val="0"/>
                <w:numId w:val="17"/>
              </w:numPr>
              <w:cnfStyle w:val="000000000000" w:firstRow="0" w:lastRow="0" w:firstColumn="0" w:lastColumn="0" w:oddVBand="0" w:evenVBand="0" w:oddHBand="0" w:evenHBand="0" w:firstRowFirstColumn="0" w:firstRowLastColumn="0" w:lastRowFirstColumn="0" w:lastRowLastColumn="0"/>
            </w:pPr>
            <w:r w:rsidRPr="000E53CF">
              <w:t>Experience identifying operational risks, delays, or blockers and taking appropriate action, including escalation where required.</w:t>
            </w:r>
          </w:p>
          <w:p w:rsidRPr="000E53CF" w:rsidR="000E53CF" w:rsidP="000E53CF" w:rsidRDefault="000E53CF" w14:paraId="42BC9F7B" w14:textId="77777777">
            <w:pPr>
              <w:pStyle w:val="Table"/>
              <w:cnfStyle w:val="000000000000" w:firstRow="0" w:lastRow="0" w:firstColumn="0" w:lastColumn="0" w:oddVBand="0" w:evenVBand="0" w:oddHBand="0" w:evenHBand="0" w:firstRowFirstColumn="0" w:firstRowLastColumn="0" w:lastRowFirstColumn="0" w:lastRowLastColumn="0"/>
              <w:rPr>
                <w:b/>
                <w:bCs/>
              </w:rPr>
            </w:pPr>
            <w:r w:rsidRPr="000E53CF">
              <w:rPr>
                <w:b/>
                <w:bCs/>
              </w:rPr>
              <w:t>Desirable Experience</w:t>
            </w:r>
          </w:p>
          <w:p w:rsidRPr="000E53CF" w:rsidR="000E53CF" w:rsidP="000E53CF" w:rsidRDefault="000E53CF" w14:paraId="593F114A" w14:textId="77777777">
            <w:pPr>
              <w:pStyle w:val="Table"/>
              <w:numPr>
                <w:ilvl w:val="0"/>
                <w:numId w:val="18"/>
              </w:numPr>
              <w:cnfStyle w:val="000000000000" w:firstRow="0" w:lastRow="0" w:firstColumn="0" w:lastColumn="0" w:oddVBand="0" w:evenVBand="0" w:oddHBand="0" w:evenHBand="0" w:firstRowFirstColumn="0" w:firstRowLastColumn="0" w:lastRowFirstColumn="0" w:lastRowLastColumn="0"/>
            </w:pPr>
            <w:r w:rsidRPr="000E53CF">
              <w:t>Experience supporting or coordinating third</w:t>
            </w:r>
            <w:r w:rsidRPr="000E53CF">
              <w:noBreakHyphen/>
            </w:r>
            <w:r w:rsidRPr="000E53CF">
              <w:t>party onboarding or mobilisation activity, even where procurement or supplier management sat elsewhere.</w:t>
            </w:r>
          </w:p>
          <w:p w:rsidRPr="000E53CF" w:rsidR="000E53CF" w:rsidP="000E53CF" w:rsidRDefault="000E53CF" w14:paraId="63873B64" w14:textId="77777777">
            <w:pPr>
              <w:pStyle w:val="Table"/>
              <w:numPr>
                <w:ilvl w:val="0"/>
                <w:numId w:val="18"/>
              </w:numPr>
              <w:cnfStyle w:val="000000000000" w:firstRow="0" w:lastRow="0" w:firstColumn="0" w:lastColumn="0" w:oddVBand="0" w:evenVBand="0" w:oddHBand="0" w:evenHBand="0" w:firstRowFirstColumn="0" w:firstRowLastColumn="0" w:lastRowFirstColumn="0" w:lastRowLastColumn="0"/>
            </w:pPr>
            <w:r w:rsidRPr="000E53CF">
              <w:t>Experience working closely with Procurement or Commercial teams to support onboarding, readiness, or transition to service.</w:t>
            </w:r>
          </w:p>
          <w:p w:rsidRPr="000E53CF" w:rsidR="000E53CF" w:rsidP="000E53CF" w:rsidRDefault="000E53CF" w14:paraId="55FE60AA" w14:textId="77777777">
            <w:pPr>
              <w:pStyle w:val="Table"/>
              <w:numPr>
                <w:ilvl w:val="0"/>
                <w:numId w:val="18"/>
              </w:numPr>
              <w:cnfStyle w:val="000000000000" w:firstRow="0" w:lastRow="0" w:firstColumn="0" w:lastColumn="0" w:oddVBand="0" w:evenVBand="0" w:oddHBand="0" w:evenHBand="0" w:firstRowFirstColumn="0" w:firstRowLastColumn="0" w:lastRowFirstColumn="0" w:lastRowLastColumn="0"/>
            </w:pPr>
            <w:r w:rsidRPr="000E53CF">
              <w:t>Experience contributing to operational reporting, performance tracking, or service improvement activity.</w:t>
            </w:r>
          </w:p>
          <w:p w:rsidRPr="000E53CF" w:rsidR="000E53CF" w:rsidP="000E53CF" w:rsidRDefault="000E53CF" w14:paraId="1ACF44D5" w14:textId="77777777">
            <w:pPr>
              <w:pStyle w:val="Table"/>
              <w:numPr>
                <w:ilvl w:val="0"/>
                <w:numId w:val="18"/>
              </w:numPr>
              <w:cnfStyle w:val="000000000000" w:firstRow="0" w:lastRow="0" w:firstColumn="0" w:lastColumn="0" w:oddVBand="0" w:evenVBand="0" w:oddHBand="0" w:evenHBand="0" w:firstRowFirstColumn="0" w:firstRowLastColumn="0" w:lastRowFirstColumn="0" w:lastRowLastColumn="0"/>
            </w:pPr>
            <w:r w:rsidRPr="000E53CF">
              <w:t>Previous experience deputising for, or stepping up into, a senior or lead operational role during absence or peak periods.</w:t>
            </w:r>
          </w:p>
          <w:p w:rsidR="00C94C36" w:rsidP="007B5F1E" w:rsidRDefault="00C94C36" w14:paraId="5F5F9229" w14:textId="5B6130E8">
            <w:pPr>
              <w:pStyle w:val="Table"/>
              <w:cnfStyle w:val="000000000000" w:firstRow="0" w:lastRow="0" w:firstColumn="0" w:lastColumn="0" w:oddVBand="0" w:evenVBand="0" w:oddHBand="0" w:evenHBand="0" w:firstRowFirstColumn="0" w:firstRowLastColumn="0" w:lastRowFirstColumn="0" w:lastRowLastColumn="0"/>
            </w:pPr>
          </w:p>
        </w:tc>
      </w:tr>
      <w:tr w:rsidRPr="004B455B" w:rsidR="007A693F" w:rsidTr="08E3BF6F" w14:paraId="61B0672D" w14:textId="77777777">
        <w:trPr>
          <w:trHeight w:val="85"/>
        </w:trPr>
        <w:tc>
          <w:tcPr>
            <w:cnfStyle w:val="001000000000" w:firstRow="0" w:lastRow="0" w:firstColumn="1" w:lastColumn="0" w:oddVBand="0" w:evenVBand="0" w:oddHBand="0" w:evenHBand="0" w:firstRowFirstColumn="0" w:firstRowLastColumn="0" w:lastRowFirstColumn="0" w:lastRowLastColumn="0"/>
            <w:tcW w:w="2548" w:type="dxa"/>
            <w:tcMar/>
          </w:tcPr>
          <w:p w:rsidR="007A693F" w:rsidP="007B5F1E" w:rsidRDefault="00255763" w14:paraId="2287C5A6" w14:textId="35D790E3">
            <w:pPr>
              <w:pStyle w:val="TableBullet"/>
              <w:numPr>
                <w:ilvl w:val="0"/>
                <w:numId w:val="0"/>
              </w:numPr>
              <w:ind w:left="306" w:hanging="284"/>
              <w:rPr>
                <w:b w:val="0"/>
                <w:bCs w:val="0"/>
              </w:rPr>
            </w:pPr>
            <w:r>
              <w:rPr>
                <w:b w:val="0"/>
                <w:bCs w:val="0"/>
              </w:rPr>
              <w:t>KPIs and SLAs</w:t>
            </w:r>
          </w:p>
        </w:tc>
        <w:tc>
          <w:tcPr>
            <w:cnfStyle w:val="000000000000" w:firstRow="0" w:lastRow="0" w:firstColumn="0" w:lastColumn="0" w:oddVBand="0" w:evenVBand="0" w:oddHBand="0" w:evenHBand="0" w:firstRowFirstColumn="0" w:firstRowLastColumn="0" w:lastRowFirstColumn="0" w:lastRowLastColumn="0"/>
            <w:tcW w:w="7795" w:type="dxa"/>
            <w:tcMar/>
          </w:tcPr>
          <w:p w:rsidRPr="00C10BEA" w:rsidR="00C10BEA" w:rsidP="00EA7475" w:rsidRDefault="00C10BEA" w14:paraId="01D32D3C" w14:textId="531DB1B5">
            <w:pPr>
              <w:pStyle w:val="Table"/>
              <w:numPr>
                <w:ilvl w:val="0"/>
                <w:numId w:val="23"/>
              </w:numPr>
              <w:cnfStyle w:val="000000000000" w:firstRow="0" w:lastRow="0" w:firstColumn="0" w:lastColumn="0" w:oddVBand="0" w:evenVBand="0" w:oddHBand="0" w:evenHBand="0" w:firstRowFirstColumn="0" w:firstRowLastColumn="0" w:lastRowFirstColumn="0" w:lastRowLastColumn="0"/>
            </w:pPr>
            <w:r w:rsidRPr="00C10BEA">
              <w:t xml:space="preserve">Achievement of agreed onboarding and service delivery milestones </w:t>
            </w:r>
          </w:p>
          <w:p w:rsidRPr="00C10BEA" w:rsidR="00C10BEA" w:rsidP="00EA7475" w:rsidRDefault="00C10BEA" w14:paraId="1D7B0016" w14:textId="02780CEB">
            <w:pPr>
              <w:pStyle w:val="Table"/>
              <w:numPr>
                <w:ilvl w:val="0"/>
                <w:numId w:val="23"/>
              </w:numPr>
              <w:cnfStyle w:val="000000000000" w:firstRow="0" w:lastRow="0" w:firstColumn="0" w:lastColumn="0" w:oddVBand="0" w:evenVBand="0" w:oddHBand="0" w:evenHBand="0" w:firstRowFirstColumn="0" w:firstRowLastColumn="0" w:lastRowFirstColumn="0" w:lastRowLastColumn="0"/>
            </w:pPr>
            <w:r w:rsidRPr="00C10BEA">
              <w:t xml:space="preserve">SLA performance across bookings and service requests </w:t>
            </w:r>
          </w:p>
          <w:p w:rsidRPr="00C10BEA" w:rsidR="00C10BEA" w:rsidP="00EA7475" w:rsidRDefault="00C10BEA" w14:paraId="12BF02B2" w14:textId="17BE11A8">
            <w:pPr>
              <w:pStyle w:val="Table"/>
              <w:numPr>
                <w:ilvl w:val="0"/>
                <w:numId w:val="23"/>
              </w:numPr>
              <w:cnfStyle w:val="000000000000" w:firstRow="0" w:lastRow="0" w:firstColumn="0" w:lastColumn="0" w:oddVBand="0" w:evenVBand="0" w:oddHBand="0" w:evenHBand="0" w:firstRowFirstColumn="0" w:firstRowLastColumn="0" w:lastRowFirstColumn="0" w:lastRowLastColumn="0"/>
            </w:pPr>
            <w:r w:rsidRPr="00C10BEA">
              <w:t xml:space="preserve">Quality and timeliness of customer and stakeholder communications </w:t>
            </w:r>
          </w:p>
          <w:p w:rsidRPr="00C10BEA" w:rsidR="00C10BEA" w:rsidP="00EA7475" w:rsidRDefault="00C10BEA" w14:paraId="44D721B5" w14:textId="51246FB6">
            <w:pPr>
              <w:pStyle w:val="Table"/>
              <w:numPr>
                <w:ilvl w:val="0"/>
                <w:numId w:val="23"/>
              </w:numPr>
              <w:cnfStyle w:val="000000000000" w:firstRow="0" w:lastRow="0" w:firstColumn="0" w:lastColumn="0" w:oddVBand="0" w:evenVBand="0" w:oddHBand="0" w:evenHBand="0" w:firstRowFirstColumn="0" w:firstRowLastColumn="0" w:lastRowFirstColumn="0" w:lastRowLastColumn="0"/>
            </w:pPr>
            <w:r w:rsidRPr="00C10BEA">
              <w:t xml:space="preserve">Accuracy, visibility, and reliability of tracking and reporting </w:t>
            </w:r>
          </w:p>
          <w:p w:rsidR="007A693F" w:rsidP="00EA7475" w:rsidRDefault="00C10BEA" w14:paraId="4DB63231" w14:textId="08D2761B">
            <w:pPr>
              <w:pStyle w:val="Table"/>
              <w:numPr>
                <w:ilvl w:val="0"/>
                <w:numId w:val="23"/>
              </w:numPr>
              <w:cnfStyle w:val="000000000000" w:firstRow="0" w:lastRow="0" w:firstColumn="0" w:lastColumn="0" w:oddVBand="0" w:evenVBand="0" w:oddHBand="0" w:evenHBand="0" w:firstRowFirstColumn="0" w:firstRowLastColumn="0" w:lastRowFirstColumn="0" w:lastRowLastColumn="0"/>
            </w:pPr>
            <w:r w:rsidRPr="00C10BEA">
              <w:t>Stakeholder and customer satisfaction</w:t>
            </w:r>
          </w:p>
        </w:tc>
      </w:tr>
      <w:tr w:rsidRPr="004B455B" w:rsidR="007A693F" w:rsidTr="08E3BF6F" w14:paraId="3A4B6508" w14:textId="77777777">
        <w:trPr>
          <w:trHeight w:val="85"/>
        </w:trPr>
        <w:tc>
          <w:tcPr>
            <w:cnfStyle w:val="001000000000" w:firstRow="0" w:lastRow="0" w:firstColumn="1" w:lastColumn="0" w:oddVBand="0" w:evenVBand="0" w:oddHBand="0" w:evenHBand="0" w:firstRowFirstColumn="0" w:firstRowLastColumn="0" w:lastRowFirstColumn="0" w:lastRowLastColumn="0"/>
            <w:tcW w:w="2548" w:type="dxa"/>
            <w:tcMar/>
          </w:tcPr>
          <w:p w:rsidR="007A693F" w:rsidP="007B5F1E" w:rsidRDefault="0051700A" w14:paraId="47732055" w14:textId="4A6CC9DA">
            <w:pPr>
              <w:pStyle w:val="TableBullet"/>
              <w:numPr>
                <w:ilvl w:val="0"/>
                <w:numId w:val="0"/>
              </w:numPr>
              <w:ind w:left="306" w:hanging="284"/>
              <w:rPr>
                <w:b w:val="0"/>
                <w:bCs w:val="0"/>
              </w:rPr>
            </w:pPr>
            <w:r>
              <w:rPr>
                <w:b w:val="0"/>
                <w:bCs w:val="0"/>
              </w:rPr>
              <w:t>Key working relationships</w:t>
            </w:r>
          </w:p>
        </w:tc>
        <w:tc>
          <w:tcPr>
            <w:cnfStyle w:val="000000000000" w:firstRow="0" w:lastRow="0" w:firstColumn="0" w:lastColumn="0" w:oddVBand="0" w:evenVBand="0" w:oddHBand="0" w:evenHBand="0" w:firstRowFirstColumn="0" w:firstRowLastColumn="0" w:lastRowFirstColumn="0" w:lastRowLastColumn="0"/>
            <w:tcW w:w="7795" w:type="dxa"/>
            <w:tcMar/>
          </w:tcPr>
          <w:p w:rsidRPr="00E35147" w:rsidR="00E35147" w:rsidP="00EA7475" w:rsidRDefault="00E35147" w14:paraId="6F2A73F6" w14:textId="3383A6AB">
            <w:pPr>
              <w:pStyle w:val="Table"/>
              <w:numPr>
                <w:ilvl w:val="0"/>
                <w:numId w:val="22"/>
              </w:numPr>
              <w:cnfStyle w:val="000000000000" w:firstRow="0" w:lastRow="0" w:firstColumn="0" w:lastColumn="0" w:oddVBand="0" w:evenVBand="0" w:oddHBand="0" w:evenHBand="0" w:firstRowFirstColumn="0" w:firstRowLastColumn="0" w:lastRowFirstColumn="0" w:lastRowLastColumn="0"/>
            </w:pPr>
            <w:r w:rsidRPr="00E35147">
              <w:t xml:space="preserve">Customers and internal stakeholders </w:t>
            </w:r>
          </w:p>
          <w:p w:rsidRPr="00E35147" w:rsidR="00E35147" w:rsidP="00EA7475" w:rsidRDefault="00E35147" w14:paraId="4AAFA4CB" w14:textId="770877CE">
            <w:pPr>
              <w:pStyle w:val="Table"/>
              <w:numPr>
                <w:ilvl w:val="0"/>
                <w:numId w:val="22"/>
              </w:numPr>
              <w:cnfStyle w:val="000000000000" w:firstRow="0" w:lastRow="0" w:firstColumn="0" w:lastColumn="0" w:oddVBand="0" w:evenVBand="0" w:oddHBand="0" w:evenHBand="0" w:firstRowFirstColumn="0" w:firstRowLastColumn="0" w:lastRowFirstColumn="0" w:lastRowLastColumn="0"/>
            </w:pPr>
            <w:r w:rsidRPr="00E35147">
              <w:t xml:space="preserve">Service Centre Team </w:t>
            </w:r>
          </w:p>
          <w:p w:rsidRPr="00E35147" w:rsidR="00E35147" w:rsidP="00EA7475" w:rsidRDefault="00E35147" w14:paraId="4F51E679" w14:textId="03DDBB51">
            <w:pPr>
              <w:pStyle w:val="Table"/>
              <w:numPr>
                <w:ilvl w:val="0"/>
                <w:numId w:val="22"/>
              </w:numPr>
              <w:cnfStyle w:val="000000000000" w:firstRow="0" w:lastRow="0" w:firstColumn="0" w:lastColumn="0" w:oddVBand="0" w:evenVBand="0" w:oddHBand="0" w:evenHBand="0" w:firstRowFirstColumn="0" w:firstRowLastColumn="0" w:lastRowFirstColumn="0" w:lastRowLastColumn="0"/>
            </w:pPr>
            <w:r w:rsidRPr="00E35147">
              <w:t xml:space="preserve">Client Relationship Teams </w:t>
            </w:r>
          </w:p>
          <w:p w:rsidR="00E35147" w:rsidP="00EA7475" w:rsidRDefault="00E35147" w14:paraId="055AE93E" w14:textId="77777777">
            <w:pPr>
              <w:pStyle w:val="Table"/>
              <w:numPr>
                <w:ilvl w:val="0"/>
                <w:numId w:val="22"/>
              </w:numPr>
              <w:cnfStyle w:val="000000000000" w:firstRow="0" w:lastRow="0" w:firstColumn="0" w:lastColumn="0" w:oddVBand="0" w:evenVBand="0" w:oddHBand="0" w:evenHBand="0" w:firstRowFirstColumn="0" w:firstRowLastColumn="0" w:lastRowFirstColumn="0" w:lastRowLastColumn="0"/>
            </w:pPr>
            <w:r w:rsidRPr="00E35147">
              <w:t xml:space="preserve">Procurement  </w:t>
            </w:r>
          </w:p>
          <w:p w:rsidRPr="00E35147" w:rsidR="00E35147" w:rsidP="00EA7475" w:rsidRDefault="00E35147" w14:paraId="66F546D7" w14:textId="14AE7F6B">
            <w:pPr>
              <w:pStyle w:val="Table"/>
              <w:numPr>
                <w:ilvl w:val="0"/>
                <w:numId w:val="22"/>
              </w:numPr>
              <w:cnfStyle w:val="000000000000" w:firstRow="0" w:lastRow="0" w:firstColumn="0" w:lastColumn="0" w:oddVBand="0" w:evenVBand="0" w:oddHBand="0" w:evenHBand="0" w:firstRowFirstColumn="0" w:firstRowLastColumn="0" w:lastRowFirstColumn="0" w:lastRowLastColumn="0"/>
            </w:pPr>
            <w:r w:rsidRPr="00E35147">
              <w:t xml:space="preserve">Security </w:t>
            </w:r>
          </w:p>
          <w:p w:rsidRPr="00E35147" w:rsidR="00E35147" w:rsidP="00EA7475" w:rsidRDefault="00E35147" w14:paraId="6AAB8E67" w14:textId="76FE4BCA">
            <w:pPr>
              <w:pStyle w:val="Table"/>
              <w:numPr>
                <w:ilvl w:val="0"/>
                <w:numId w:val="22"/>
              </w:numPr>
              <w:cnfStyle w:val="000000000000" w:firstRow="0" w:lastRow="0" w:firstColumn="0" w:lastColumn="0" w:oddVBand="0" w:evenVBand="0" w:oddHBand="0" w:evenHBand="0" w:firstRowFirstColumn="0" w:firstRowLastColumn="0" w:lastRowFirstColumn="0" w:lastRowLastColumn="0"/>
            </w:pPr>
            <w:r w:rsidRPr="00E35147">
              <w:t>Scheduling, Courseware, Virtual Learning, Exams, and Finance teams</w:t>
            </w:r>
          </w:p>
          <w:p w:rsidR="00E90EC3" w:rsidP="00EA7475" w:rsidRDefault="002908A0" w14:paraId="26AC47CE" w14:textId="6E826C93">
            <w:pPr>
              <w:pStyle w:val="Table"/>
              <w:numPr>
                <w:ilvl w:val="0"/>
                <w:numId w:val="22"/>
              </w:numPr>
              <w:cnfStyle w:val="000000000000" w:firstRow="0" w:lastRow="0" w:firstColumn="0" w:lastColumn="0" w:oddVBand="0" w:evenVBand="0" w:oddHBand="0" w:evenHBand="0" w:firstRowFirstColumn="0" w:firstRowLastColumn="0" w:lastRowFirstColumn="0" w:lastRowLastColumn="0"/>
            </w:pPr>
            <w:r w:rsidRPr="002908A0">
              <w:t>Security  </w:t>
            </w:r>
          </w:p>
        </w:tc>
      </w:tr>
      <w:tr w:rsidRPr="004B455B" w:rsidR="002908A0" w:rsidTr="08E3BF6F" w14:paraId="2A1E3E0B" w14:textId="77777777">
        <w:trPr>
          <w:trHeight w:val="85"/>
        </w:trPr>
        <w:tc>
          <w:tcPr>
            <w:cnfStyle w:val="001000000000" w:firstRow="0" w:lastRow="0" w:firstColumn="1" w:lastColumn="0" w:oddVBand="0" w:evenVBand="0" w:oddHBand="0" w:evenHBand="0" w:firstRowFirstColumn="0" w:firstRowLastColumn="0" w:lastRowFirstColumn="0" w:lastRowLastColumn="0"/>
            <w:tcW w:w="2548" w:type="dxa"/>
            <w:tcMar/>
          </w:tcPr>
          <w:p w:rsidRPr="002908A0" w:rsidR="002908A0" w:rsidP="007B5F1E" w:rsidRDefault="002908A0" w14:paraId="11EA5C48" w14:textId="644A0C57">
            <w:pPr>
              <w:pStyle w:val="TableBullet"/>
              <w:numPr>
                <w:ilvl w:val="0"/>
                <w:numId w:val="0"/>
              </w:numPr>
              <w:ind w:left="306" w:hanging="284"/>
              <w:rPr>
                <w:b w:val="0"/>
                <w:bCs w:val="0"/>
              </w:rPr>
            </w:pPr>
            <w:r w:rsidRPr="002908A0">
              <w:rPr>
                <w:b w:val="0"/>
                <w:bCs w:val="0"/>
              </w:rPr>
              <w:t>Your Competencies </w:t>
            </w:r>
          </w:p>
        </w:tc>
        <w:tc>
          <w:tcPr>
            <w:cnfStyle w:val="000000000000" w:firstRow="0" w:lastRow="0" w:firstColumn="0" w:lastColumn="0" w:oddVBand="0" w:evenVBand="0" w:oddHBand="0" w:evenHBand="0" w:firstRowFirstColumn="0" w:firstRowLastColumn="0" w:lastRowFirstColumn="0" w:lastRowLastColumn="0"/>
            <w:tcW w:w="7795" w:type="dxa"/>
            <w:tcMar/>
          </w:tcPr>
          <w:p w:rsidRPr="00480F21" w:rsidR="00480F21" w:rsidP="00480F21" w:rsidRDefault="00480F21" w14:paraId="656E9131" w14:textId="77777777">
            <w:pPr>
              <w:pStyle w:val="Table"/>
              <w:cnfStyle w:val="000000000000" w:firstRow="0" w:lastRow="0" w:firstColumn="0" w:lastColumn="0" w:oddVBand="0" w:evenVBand="0" w:oddHBand="0" w:evenHBand="0" w:firstRowFirstColumn="0" w:firstRowLastColumn="0" w:lastRowFirstColumn="0" w:lastRowLastColumn="0"/>
              <w:rPr>
                <w:b/>
                <w:bCs/>
              </w:rPr>
            </w:pPr>
            <w:r w:rsidRPr="00480F21">
              <w:rPr>
                <w:b/>
                <w:bCs/>
              </w:rPr>
              <w:t>Key Competencies</w:t>
            </w:r>
          </w:p>
          <w:p w:rsidRPr="00480F21" w:rsidR="00480F21" w:rsidP="00480F21" w:rsidRDefault="00480F21" w14:paraId="5DC504B4" w14:textId="77777777">
            <w:pPr>
              <w:pStyle w:val="Table"/>
              <w:numPr>
                <w:ilvl w:val="0"/>
                <w:numId w:val="19"/>
              </w:numPr>
              <w:cnfStyle w:val="000000000000" w:firstRow="0" w:lastRow="0" w:firstColumn="0" w:lastColumn="0" w:oddVBand="0" w:evenVBand="0" w:oddHBand="0" w:evenHBand="0" w:firstRowFirstColumn="0" w:firstRowLastColumn="0" w:lastRowFirstColumn="0" w:lastRowLastColumn="0"/>
            </w:pPr>
            <w:r w:rsidRPr="00480F21">
              <w:t>Operational ownership – Demonstrates end</w:t>
            </w:r>
            <w:r w:rsidRPr="00480F21">
              <w:noBreakHyphen/>
            </w:r>
            <w:r w:rsidRPr="00480F21">
              <w:t>to</w:t>
            </w:r>
            <w:r w:rsidRPr="00480F21">
              <w:noBreakHyphen/>
            </w:r>
            <w:r w:rsidRPr="00480F21">
              <w:t>end responsibility for defined service delivery processes, ensuring work progresses to agreed outcomes.</w:t>
            </w:r>
          </w:p>
          <w:p w:rsidRPr="00480F21" w:rsidR="00480F21" w:rsidP="00480F21" w:rsidRDefault="00480F21" w14:paraId="6A52498D" w14:textId="77777777">
            <w:pPr>
              <w:pStyle w:val="Table"/>
              <w:numPr>
                <w:ilvl w:val="0"/>
                <w:numId w:val="19"/>
              </w:numPr>
              <w:cnfStyle w:val="000000000000" w:firstRow="0" w:lastRow="0" w:firstColumn="0" w:lastColumn="0" w:oddVBand="0" w:evenVBand="0" w:oddHBand="0" w:evenHBand="0" w:firstRowFirstColumn="0" w:firstRowLastColumn="0" w:lastRowFirstColumn="0" w:lastRowLastColumn="0"/>
            </w:pPr>
            <w:r w:rsidRPr="00480F21">
              <w:t>Coordination &amp; planning – Effectively manages dependencies and priorities across multiple teams to maintain momentum and delivery focus.</w:t>
            </w:r>
          </w:p>
          <w:p w:rsidRPr="00480F21" w:rsidR="00480F21" w:rsidP="00480F21" w:rsidRDefault="00480F21" w14:paraId="71DC9018" w14:textId="77777777">
            <w:pPr>
              <w:pStyle w:val="Table"/>
              <w:numPr>
                <w:ilvl w:val="0"/>
                <w:numId w:val="19"/>
              </w:numPr>
              <w:cnfStyle w:val="000000000000" w:firstRow="0" w:lastRow="0" w:firstColumn="0" w:lastColumn="0" w:oddVBand="0" w:evenVBand="0" w:oddHBand="0" w:evenHBand="0" w:firstRowFirstColumn="0" w:firstRowLastColumn="0" w:lastRowFirstColumn="0" w:lastRowLastColumn="0"/>
            </w:pPr>
            <w:r w:rsidRPr="00480F21">
              <w:t>Customer &amp; stakeholder communication – Proactively engages external customers and internal stakeholders, providing clear, timely, and confident communication.</w:t>
            </w:r>
          </w:p>
          <w:p w:rsidRPr="00480F21" w:rsidR="00480F21" w:rsidP="00480F21" w:rsidRDefault="00480F21" w14:paraId="3590DBCF" w14:textId="77777777">
            <w:pPr>
              <w:pStyle w:val="Table"/>
              <w:numPr>
                <w:ilvl w:val="0"/>
                <w:numId w:val="19"/>
              </w:numPr>
              <w:cnfStyle w:val="000000000000" w:firstRow="0" w:lastRow="0" w:firstColumn="0" w:lastColumn="0" w:oddVBand="0" w:evenVBand="0" w:oddHBand="0" w:evenHBand="0" w:firstRowFirstColumn="0" w:firstRowLastColumn="0" w:lastRowFirstColumn="0" w:lastRowLastColumn="0"/>
            </w:pPr>
            <w:r w:rsidRPr="00480F21">
              <w:t>Workflow &amp; prioritisation management – Supports workload balance, SLA performance, and service continuity, particularly during periods of peak demand.</w:t>
            </w:r>
          </w:p>
          <w:p w:rsidRPr="00480F21" w:rsidR="00480F21" w:rsidP="00480F21" w:rsidRDefault="00480F21" w14:paraId="114D6E0B" w14:textId="55F5F27D">
            <w:pPr>
              <w:pStyle w:val="Table"/>
              <w:numPr>
                <w:ilvl w:val="0"/>
                <w:numId w:val="19"/>
              </w:numPr>
              <w:cnfStyle w:val="000000000000" w:firstRow="0" w:lastRow="0" w:firstColumn="0" w:lastColumn="0" w:oddVBand="0" w:evenVBand="0" w:oddHBand="0" w:evenHBand="0" w:firstRowFirstColumn="0" w:firstRowLastColumn="0" w:lastRowFirstColumn="0" w:lastRowLastColumn="0"/>
            </w:pPr>
            <w:r w:rsidRPr="00480F21">
              <w:t xml:space="preserve">Risk awareness &amp; escalation – Identifies emerging issues early, exercises sound </w:t>
            </w:r>
            <w:r w:rsidRPr="00480F21">
              <w:t>judgement and</w:t>
            </w:r>
            <w:r w:rsidRPr="00480F21">
              <w:t xml:space="preserve"> escalates appropriately to protect service delivery.</w:t>
            </w:r>
          </w:p>
          <w:p w:rsidRPr="00480F21" w:rsidR="00480F21" w:rsidP="00480F21" w:rsidRDefault="00480F21" w14:paraId="6283474E" w14:textId="77777777">
            <w:pPr>
              <w:pStyle w:val="Table"/>
              <w:numPr>
                <w:ilvl w:val="0"/>
                <w:numId w:val="19"/>
              </w:numPr>
              <w:cnfStyle w:val="000000000000" w:firstRow="0" w:lastRow="0" w:firstColumn="0" w:lastColumn="0" w:oddVBand="0" w:evenVBand="0" w:oddHBand="0" w:evenHBand="0" w:firstRowFirstColumn="0" w:firstRowLastColumn="0" w:lastRowFirstColumn="0" w:lastRowLastColumn="0"/>
            </w:pPr>
            <w:r w:rsidRPr="00480F21">
              <w:t>Accuracy &amp; attention to detail – Maintains high standards of accuracy in operational information, onboarding activity, and quoting outputs.</w:t>
            </w:r>
          </w:p>
          <w:p w:rsidRPr="00480F21" w:rsidR="00480F21" w:rsidP="00480F21" w:rsidRDefault="00480F21" w14:paraId="615354B9" w14:textId="77777777">
            <w:pPr>
              <w:pStyle w:val="Table"/>
              <w:numPr>
                <w:ilvl w:val="0"/>
                <w:numId w:val="19"/>
              </w:numPr>
              <w:cnfStyle w:val="000000000000" w:firstRow="0" w:lastRow="0" w:firstColumn="0" w:lastColumn="0" w:oddVBand="0" w:evenVBand="0" w:oddHBand="0" w:evenHBand="0" w:firstRowFirstColumn="0" w:firstRowLastColumn="0" w:lastRowFirstColumn="0" w:lastRowLastColumn="0"/>
            </w:pPr>
            <w:r w:rsidRPr="00480F21">
              <w:t>Influencing without authority – Builds effective working relationships and drives progress through collaboration rather than hierarchy.</w:t>
            </w:r>
          </w:p>
          <w:p w:rsidRPr="00480F21" w:rsidR="00480F21" w:rsidP="00480F21" w:rsidRDefault="00480F21" w14:paraId="54E631CB" w14:textId="77777777">
            <w:pPr>
              <w:pStyle w:val="Table"/>
              <w:numPr>
                <w:ilvl w:val="0"/>
                <w:numId w:val="19"/>
              </w:numPr>
              <w:cnfStyle w:val="000000000000" w:firstRow="0" w:lastRow="0" w:firstColumn="0" w:lastColumn="0" w:oddVBand="0" w:evenVBand="0" w:oddHBand="0" w:evenHBand="0" w:firstRowFirstColumn="0" w:firstRowLastColumn="0" w:lastRowFirstColumn="0" w:lastRowLastColumn="0"/>
            </w:pPr>
            <w:r w:rsidRPr="00480F21">
              <w:t>Judgement &amp; decision</w:t>
            </w:r>
            <w:r w:rsidRPr="00480F21">
              <w:noBreakHyphen/>
            </w:r>
            <w:r w:rsidRPr="00480F21">
              <w:t>making – Makes informed operational decisions when deputising for the Workstream Lead and during periods of pressure.</w:t>
            </w:r>
          </w:p>
          <w:p w:rsidRPr="00480F21" w:rsidR="00480F21" w:rsidP="00480F21" w:rsidRDefault="00480F21" w14:paraId="1E112ADD" w14:textId="77777777">
            <w:pPr>
              <w:pStyle w:val="Table"/>
              <w:numPr>
                <w:ilvl w:val="0"/>
                <w:numId w:val="19"/>
              </w:numPr>
              <w:cnfStyle w:val="000000000000" w:firstRow="0" w:lastRow="0" w:firstColumn="0" w:lastColumn="0" w:oddVBand="0" w:evenVBand="0" w:oddHBand="0" w:evenHBand="0" w:firstRowFirstColumn="0" w:firstRowLastColumn="0" w:lastRowFirstColumn="0" w:lastRowLastColumn="0"/>
            </w:pPr>
            <w:r w:rsidRPr="00480F21">
              <w:t>Continuous improvement mindset – Identifies practical improvements to processes and ways of working to enhance service delivery.</w:t>
            </w:r>
          </w:p>
          <w:p w:rsidRPr="002908A0" w:rsidR="002908A0" w:rsidP="007B5F1E" w:rsidRDefault="002908A0" w14:paraId="66E2E955" w14:textId="0039DBC6">
            <w:pPr>
              <w:pStyle w:val="Table"/>
              <w:cnfStyle w:val="000000000000" w:firstRow="0" w:lastRow="0" w:firstColumn="0" w:lastColumn="0" w:oddVBand="0" w:evenVBand="0" w:oddHBand="0" w:evenHBand="0" w:firstRowFirstColumn="0" w:firstRowLastColumn="0" w:lastRowFirstColumn="0" w:lastRowLastColumn="0"/>
            </w:pPr>
          </w:p>
        </w:tc>
      </w:tr>
      <w:tr w:rsidRPr="004B455B" w:rsidR="002908A0" w:rsidTr="08E3BF6F" w14:paraId="584C2A17" w14:textId="77777777">
        <w:trPr>
          <w:trHeight w:val="85"/>
        </w:trPr>
        <w:tc>
          <w:tcPr>
            <w:cnfStyle w:val="001000000000" w:firstRow="0" w:lastRow="0" w:firstColumn="1" w:lastColumn="0" w:oddVBand="0" w:evenVBand="0" w:oddHBand="0" w:evenHBand="0" w:firstRowFirstColumn="0" w:firstRowLastColumn="0" w:lastRowFirstColumn="0" w:lastRowLastColumn="0"/>
            <w:tcW w:w="2548" w:type="dxa"/>
            <w:tcMar/>
          </w:tcPr>
          <w:p w:rsidRPr="002908A0" w:rsidR="002908A0" w:rsidP="007B5F1E" w:rsidRDefault="002908A0" w14:paraId="5B7EC91A" w14:textId="02941CFB">
            <w:pPr>
              <w:pStyle w:val="TableBullet"/>
              <w:numPr>
                <w:ilvl w:val="0"/>
                <w:numId w:val="0"/>
              </w:numPr>
              <w:ind w:left="306" w:hanging="284"/>
              <w:rPr>
                <w:b w:val="0"/>
                <w:bCs w:val="0"/>
              </w:rPr>
            </w:pPr>
            <w:r w:rsidRPr="002908A0">
              <w:rPr>
                <w:b w:val="0"/>
                <w:bCs w:val="0"/>
              </w:rPr>
              <w:t>What you will bring</w:t>
            </w:r>
          </w:p>
        </w:tc>
        <w:tc>
          <w:tcPr>
            <w:cnfStyle w:val="000000000000" w:firstRow="0" w:lastRow="0" w:firstColumn="0" w:lastColumn="0" w:oddVBand="0" w:evenVBand="0" w:oddHBand="0" w:evenHBand="0" w:firstRowFirstColumn="0" w:firstRowLastColumn="0" w:lastRowFirstColumn="0" w:lastRowLastColumn="0"/>
            <w:tcW w:w="7795" w:type="dxa"/>
            <w:tcMar/>
          </w:tcPr>
          <w:p w:rsidRPr="003147E4" w:rsidR="003147E4" w:rsidP="003147E4" w:rsidRDefault="003147E4" w14:paraId="60664EFD" w14:textId="77777777">
            <w:pPr>
              <w:pStyle w:val="Table"/>
              <w:numPr>
                <w:ilvl w:val="0"/>
                <w:numId w:val="21"/>
              </w:numPr>
              <w:cnfStyle w:val="000000000000" w:firstRow="0" w:lastRow="0" w:firstColumn="0" w:lastColumn="0" w:oddVBand="0" w:evenVBand="0" w:oddHBand="0" w:evenHBand="0" w:firstRowFirstColumn="0" w:firstRowLastColumn="0" w:lastRowFirstColumn="0" w:lastRowLastColumn="0"/>
            </w:pPr>
            <w:r w:rsidRPr="003147E4">
              <w:t>Ownership – Takes personal responsibility for outcomes, following work through end</w:t>
            </w:r>
            <w:r w:rsidRPr="003147E4">
              <w:noBreakHyphen/>
            </w:r>
            <w:r w:rsidRPr="003147E4">
              <w:t>to</w:t>
            </w:r>
            <w:r w:rsidRPr="003147E4">
              <w:noBreakHyphen/>
            </w:r>
            <w:r w:rsidRPr="003147E4">
              <w:t>end with care and accountability.</w:t>
            </w:r>
          </w:p>
          <w:p w:rsidRPr="003147E4" w:rsidR="003147E4" w:rsidP="003147E4" w:rsidRDefault="003147E4" w14:paraId="4FF1280F" w14:textId="77777777">
            <w:pPr>
              <w:pStyle w:val="Table"/>
              <w:numPr>
                <w:ilvl w:val="0"/>
                <w:numId w:val="21"/>
              </w:numPr>
              <w:cnfStyle w:val="000000000000" w:firstRow="0" w:lastRow="0" w:firstColumn="0" w:lastColumn="0" w:oddVBand="0" w:evenVBand="0" w:oddHBand="0" w:evenHBand="0" w:firstRowFirstColumn="0" w:firstRowLastColumn="0" w:lastRowFirstColumn="0" w:lastRowLastColumn="0"/>
            </w:pPr>
            <w:r w:rsidRPr="003147E4">
              <w:t>Customer Commitment – Acts with transparency and professionalism, putting the customer experience at the heart of decisions and communication.</w:t>
            </w:r>
          </w:p>
          <w:p w:rsidRPr="003147E4" w:rsidR="003147E4" w:rsidP="003147E4" w:rsidRDefault="003147E4" w14:paraId="719AB3B8" w14:textId="77777777">
            <w:pPr>
              <w:pStyle w:val="Table"/>
              <w:numPr>
                <w:ilvl w:val="0"/>
                <w:numId w:val="21"/>
              </w:numPr>
              <w:cnfStyle w:val="000000000000" w:firstRow="0" w:lastRow="0" w:firstColumn="0" w:lastColumn="0" w:oddVBand="0" w:evenVBand="0" w:oddHBand="0" w:evenHBand="0" w:firstRowFirstColumn="0" w:firstRowLastColumn="0" w:lastRowFirstColumn="0" w:lastRowLastColumn="0"/>
            </w:pPr>
            <w:r w:rsidRPr="003147E4">
              <w:t>Collaboration – Works in partnership across teams, building trust and shared ownership to achieve the right outcomes.</w:t>
            </w:r>
          </w:p>
          <w:p w:rsidRPr="003147E4" w:rsidR="003147E4" w:rsidP="003147E4" w:rsidRDefault="003147E4" w14:paraId="56ED85BD" w14:textId="77777777">
            <w:pPr>
              <w:pStyle w:val="Table"/>
              <w:numPr>
                <w:ilvl w:val="0"/>
                <w:numId w:val="21"/>
              </w:numPr>
              <w:cnfStyle w:val="000000000000" w:firstRow="0" w:lastRow="0" w:firstColumn="0" w:lastColumn="0" w:oddVBand="0" w:evenVBand="0" w:oddHBand="0" w:evenHBand="0" w:firstRowFirstColumn="0" w:firstRowLastColumn="0" w:lastRowFirstColumn="0" w:lastRowLastColumn="0"/>
            </w:pPr>
            <w:r w:rsidRPr="003147E4">
              <w:t>Integrity &amp; Quality – Operates with honesty, accuracy, and high standards, taking pride in getting things right.</w:t>
            </w:r>
          </w:p>
          <w:p w:rsidRPr="003147E4" w:rsidR="003147E4" w:rsidP="003147E4" w:rsidRDefault="003147E4" w14:paraId="71309313" w14:textId="77777777">
            <w:pPr>
              <w:pStyle w:val="Table"/>
              <w:numPr>
                <w:ilvl w:val="0"/>
                <w:numId w:val="21"/>
              </w:numPr>
              <w:cnfStyle w:val="000000000000" w:firstRow="0" w:lastRow="0" w:firstColumn="0" w:lastColumn="0" w:oddVBand="0" w:evenVBand="0" w:oddHBand="0" w:evenHBand="0" w:firstRowFirstColumn="0" w:firstRowLastColumn="0" w:lastRowFirstColumn="0" w:lastRowLastColumn="0"/>
            </w:pPr>
            <w:r w:rsidRPr="003147E4">
              <w:t>Resilience &amp; Improvement – Stays calm under pressure and is committed to learning, adapting, and improving how services are delivered.</w:t>
            </w:r>
          </w:p>
          <w:p w:rsidRPr="002908A0" w:rsidR="002908A0" w:rsidP="003147E4" w:rsidRDefault="002908A0" w14:paraId="29F5DDD6" w14:textId="4CCCEEFD">
            <w:pPr>
              <w:pStyle w:val="Table"/>
              <w:cnfStyle w:val="000000000000" w:firstRow="0" w:lastRow="0" w:firstColumn="0" w:lastColumn="0" w:oddVBand="0" w:evenVBand="0" w:oddHBand="0" w:evenHBand="0" w:firstRowFirstColumn="0" w:firstRowLastColumn="0" w:lastRowFirstColumn="0" w:lastRowLastColumn="0"/>
            </w:pPr>
          </w:p>
        </w:tc>
      </w:tr>
    </w:tbl>
    <w:p w:rsidRPr="00175BFD" w:rsidR="007A693F" w:rsidP="002908A0" w:rsidRDefault="007A693F" w14:paraId="1A898FA6" w14:textId="77777777">
      <w:pPr>
        <w:spacing w:before="0" w:after="160" w:line="259" w:lineRule="auto"/>
      </w:pPr>
    </w:p>
    <w:sectPr w:rsidRPr="00175BFD" w:rsidR="007A693F" w:rsidSect="00986595">
      <w:headerReference w:type="default" r:id="rId11"/>
      <w:footerReference w:type="first" r:id="rId12"/>
      <w:pgSz w:w="11906" w:h="16838" w:orient="portrait"/>
      <w:pgMar w:top="2835" w:right="851" w:bottom="2268"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2DD6" w:rsidP="007F513E" w:rsidRDefault="00332DD6" w14:paraId="65C1AD92" w14:textId="77777777">
      <w:r>
        <w:separator/>
      </w:r>
    </w:p>
  </w:endnote>
  <w:endnote w:type="continuationSeparator" w:id="0">
    <w:p w:rsidR="00332DD6" w:rsidP="007F513E" w:rsidRDefault="00332DD6" w14:paraId="15B8B35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gtree">
    <w:altName w:val="Calibri"/>
    <w:charset w:val="00"/>
    <w:family w:val="auto"/>
    <w:pitch w:val="variable"/>
    <w:sig w:usb0="A000006F" w:usb1="0000007B" w:usb2="00000000" w:usb3="00000000" w:csb0="00000093" w:csb1="00000000"/>
  </w:font>
  <w:font w:name="Montserrat Light">
    <w:panose1 w:val="00000400000000000000"/>
    <w:charset w:val="00"/>
    <w:family w:val="auto"/>
    <w:pitch w:val="variable"/>
    <w:sig w:usb0="2000020F" w:usb1="00000003" w:usb2="00000000" w:usb3="00000000" w:csb0="00000197" w:csb1="00000000"/>
  </w:font>
  <w:font w:name="Figtree ExtraBold">
    <w:altName w:val="Calibri"/>
    <w:charset w:val="00"/>
    <w:family w:val="auto"/>
    <w:pitch w:val="variable"/>
    <w:sig w:usb0="A000006F" w:usb1="0000007B" w:usb2="00000000" w:usb3="00000000" w:csb0="00000093" w:csb1="00000000"/>
  </w:font>
  <w:font w:name="Figtree Medium">
    <w:charset w:val="00"/>
    <w:family w:val="auto"/>
    <w:pitch w:val="variable"/>
    <w:sig w:usb0="A000006F" w:usb1="00000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B7E" w:rsidP="00786B7E" w:rsidRDefault="00786B7E" w14:paraId="24256FC2" w14:textId="77777777">
    <w:pPr>
      <w:pStyle w:val="Footer"/>
      <w:tabs>
        <w:tab w:val="clear" w:pos="9026"/>
        <w:tab w:val="right" w:pos="10204"/>
      </w:tabs>
    </w:pPr>
    <w:r w:rsidRPr="00232C50">
      <w:fldChar w:fldCharType="begin"/>
    </w:r>
    <w:r w:rsidRPr="00232C50">
      <w:instrText xml:space="preserve"> PAGE   \* MERGEFORMAT </w:instrText>
    </w:r>
    <w:r w:rsidRPr="00232C50">
      <w:fldChar w:fldCharType="separate"/>
    </w:r>
    <w:r>
      <w:t>i</w:t>
    </w:r>
    <w:r w:rsidRPr="00232C50">
      <w:fldChar w:fldCharType="end"/>
    </w:r>
    <w:r w:rsidRPr="00232C50">
      <w:t xml:space="preserve"> | </w:t>
    </w:r>
    <w:r>
      <w:t>[Insert title]</w:t>
    </w:r>
    <w:r>
      <w:tab/>
    </w:r>
    <w:r>
      <w:tab/>
    </w:r>
    <w:r>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2DD6" w:rsidP="007F513E" w:rsidRDefault="00332DD6" w14:paraId="26605FB4" w14:textId="77777777">
      <w:r>
        <w:separator/>
      </w:r>
    </w:p>
  </w:footnote>
  <w:footnote w:type="continuationSeparator" w:id="0">
    <w:p w:rsidR="00332DD6" w:rsidP="007F513E" w:rsidRDefault="00332DD6" w14:paraId="051287A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50DA6" w:rsidRDefault="00554539" w14:paraId="395898DD" w14:textId="77777777">
    <w:pPr>
      <w:pStyle w:val="Header"/>
    </w:pPr>
    <w:r>
      <w:rPr>
        <w:noProof/>
      </w:rPr>
      <w:drawing>
        <wp:anchor distT="0" distB="0" distL="114300" distR="114300" simplePos="0" relativeHeight="251658240" behindDoc="1" locked="0" layoutInCell="1" allowOverlap="1" wp14:anchorId="5C657CCF" wp14:editId="3C720B69">
          <wp:simplePos x="0" y="0"/>
          <wp:positionH relativeFrom="page">
            <wp:align>right</wp:align>
          </wp:positionH>
          <wp:positionV relativeFrom="paragraph">
            <wp:posOffset>-367665</wp:posOffset>
          </wp:positionV>
          <wp:extent cx="7558767" cy="10691998"/>
          <wp:effectExtent l="0" t="0" r="4445" b="0"/>
          <wp:wrapNone/>
          <wp:docPr id="744622767"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22767"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E34E5AE"/>
    <w:lvl w:ilvl="0">
      <w:start w:val="1"/>
      <w:numFmt w:val="bullet"/>
      <w:lvlText w:val=""/>
      <w:lvlJc w:val="left"/>
      <w:pPr>
        <w:tabs>
          <w:tab w:val="num" w:pos="1492"/>
        </w:tabs>
        <w:ind w:left="1492" w:hanging="360"/>
      </w:pPr>
      <w:rPr>
        <w:rFonts w:hint="default" w:ascii="Symbol" w:hAnsi="Symbol"/>
      </w:rPr>
    </w:lvl>
  </w:abstractNum>
  <w:abstractNum w:abstractNumId="1" w15:restartNumberingAfterBreak="0">
    <w:nsid w:val="FFFFFF82"/>
    <w:multiLevelType w:val="singleLevel"/>
    <w:tmpl w:val="B7467314"/>
    <w:lvl w:ilvl="0">
      <w:start w:val="1"/>
      <w:numFmt w:val="bullet"/>
      <w:lvlText w:val=""/>
      <w:lvlJc w:val="left"/>
      <w:pPr>
        <w:tabs>
          <w:tab w:val="num" w:pos="926"/>
        </w:tabs>
        <w:ind w:left="926" w:hanging="360"/>
      </w:pPr>
      <w:rPr>
        <w:rFonts w:hint="default" w:ascii="Symbol" w:hAnsi="Symbol"/>
      </w:rPr>
    </w:lvl>
  </w:abstractNum>
  <w:abstractNum w:abstractNumId="2" w15:restartNumberingAfterBreak="0">
    <w:nsid w:val="02DC5002"/>
    <w:multiLevelType w:val="multilevel"/>
    <w:tmpl w:val="C1A42FC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4F6968"/>
    <w:multiLevelType w:val="multilevel"/>
    <w:tmpl w:val="16AC23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F4E59D5"/>
    <w:multiLevelType w:val="hybridMultilevel"/>
    <w:tmpl w:val="40A0A4FA"/>
    <w:lvl w:ilvl="0" w:tplc="BC34B044">
      <w:numFmt w:val="bullet"/>
      <w:pStyle w:val="Bulletlist1"/>
      <w:lvlText w:val="•"/>
      <w:lvlJc w:val="left"/>
      <w:pPr>
        <w:ind w:left="1080" w:hanging="720"/>
      </w:pPr>
      <w:rPr>
        <w:rFonts w:hint="default" w:ascii="Figtree" w:hAnsi="Figtree"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1324D5B"/>
    <w:multiLevelType w:val="hybridMultilevel"/>
    <w:tmpl w:val="A29CC74A"/>
    <w:lvl w:ilvl="0" w:tplc="1FFEC70C">
      <w:start w:val="1"/>
      <w:numFmt w:val="lowerLetter"/>
      <w:lvlText w:val="%1)"/>
      <w:lvlJc w:val="left"/>
      <w:pPr>
        <w:ind w:left="1701" w:hanging="567"/>
      </w:pPr>
      <w:rPr>
        <w:rFonts w:hint="default" w:ascii="Montserrat Light" w:hAnsi="Montserrat Ligh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22914DC1"/>
    <w:multiLevelType w:val="hybridMultilevel"/>
    <w:tmpl w:val="72F6B1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79E09BB"/>
    <w:multiLevelType w:val="hybridMultilevel"/>
    <w:tmpl w:val="E4320BF8"/>
    <w:lvl w:ilvl="0" w:tplc="86B2C846">
      <w:start w:val="1"/>
      <w:numFmt w:val="bullet"/>
      <w:lvlText w:val=""/>
      <w:lvlJc w:val="left"/>
      <w:pPr>
        <w:ind w:left="1701" w:hanging="567"/>
      </w:pPr>
      <w:rPr>
        <w:rFonts w:hint="default" w:ascii="Symbol" w:hAnsi="Symbol"/>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8" w15:restartNumberingAfterBreak="0">
    <w:nsid w:val="2ABE0854"/>
    <w:multiLevelType w:val="multilevel"/>
    <w:tmpl w:val="7338CA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2CB4FDB"/>
    <w:multiLevelType w:val="multilevel"/>
    <w:tmpl w:val="7CC051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3EE7BD8"/>
    <w:multiLevelType w:val="hybridMultilevel"/>
    <w:tmpl w:val="B7AA84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67600C0"/>
    <w:multiLevelType w:val="multilevel"/>
    <w:tmpl w:val="DEF2A7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83E6163"/>
    <w:multiLevelType w:val="multilevel"/>
    <w:tmpl w:val="D48ED3D8"/>
    <w:lvl w:ilvl="0">
      <w:start w:val="1"/>
      <w:numFmt w:val="decimal"/>
      <w:pStyle w:val="Heading1"/>
      <w:lvlText w:val="%1."/>
      <w:lvlJc w:val="left"/>
      <w:pPr>
        <w:ind w:left="1134" w:hanging="1134"/>
      </w:pPr>
      <w:rPr>
        <w:rFonts w:hint="default" w:ascii="Figtree ExtraBold" w:hAnsi="Figtree ExtraBold"/>
        <w:sz w:val="40"/>
      </w:rPr>
    </w:lvl>
    <w:lvl w:ilvl="1">
      <w:start w:val="1"/>
      <w:numFmt w:val="decimal"/>
      <w:pStyle w:val="Heading2"/>
      <w:lvlText w:val="%1.%2."/>
      <w:lvlJc w:val="left"/>
      <w:pPr>
        <w:ind w:left="1134" w:hanging="1134"/>
      </w:pPr>
      <w:rPr>
        <w:rFonts w:hint="default" w:ascii="Figtree" w:hAnsi="Figtree"/>
        <w:b/>
        <w:i w:val="0"/>
        <w:sz w:val="32"/>
      </w:rPr>
    </w:lvl>
    <w:lvl w:ilvl="2">
      <w:start w:val="1"/>
      <w:numFmt w:val="decimal"/>
      <w:pStyle w:val="Heading3"/>
      <w:lvlText w:val="%1.%2.%3."/>
      <w:lvlJc w:val="left"/>
      <w:pPr>
        <w:ind w:left="1134" w:hanging="1134"/>
      </w:pPr>
      <w:rPr>
        <w:rFonts w:hint="default" w:ascii="Figtree" w:hAnsi="Figtree"/>
        <w:b/>
        <w:i w:val="0"/>
        <w:sz w:val="28"/>
      </w:rPr>
    </w:lvl>
    <w:lvl w:ilvl="3">
      <w:start w:val="1"/>
      <w:numFmt w:val="decimal"/>
      <w:pStyle w:val="Heading4"/>
      <w:lvlText w:val="%1.%2.%3.%4."/>
      <w:lvlJc w:val="left"/>
      <w:pPr>
        <w:ind w:left="1134" w:hanging="1134"/>
      </w:pPr>
      <w:rPr>
        <w:rFonts w:hint="default" w:ascii="Figtree" w:hAnsi="Figtree"/>
        <w:b/>
        <w:i w:val="0"/>
        <w:sz w:val="24"/>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3" w15:restartNumberingAfterBreak="0">
    <w:nsid w:val="426155A0"/>
    <w:multiLevelType w:val="hybridMultilevel"/>
    <w:tmpl w:val="65642B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387497B"/>
    <w:multiLevelType w:val="hybridMultilevel"/>
    <w:tmpl w:val="7D0A7FCC"/>
    <w:lvl w:ilvl="0" w:tplc="555C0D56">
      <w:start w:val="1"/>
      <w:numFmt w:val="bullet"/>
      <w:pStyle w:val="TableBullet"/>
      <w:lvlText w:val=""/>
      <w:lvlJc w:val="left"/>
      <w:pPr>
        <w:ind w:left="397" w:hanging="284"/>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5" w15:restartNumberingAfterBreak="0">
    <w:nsid w:val="46B83988"/>
    <w:multiLevelType w:val="hybridMultilevel"/>
    <w:tmpl w:val="D70098A2"/>
    <w:lvl w:ilvl="0" w:tplc="0AD28780">
      <w:start w:val="1"/>
      <w:numFmt w:val="bullet"/>
      <w:lvlText w:val=""/>
      <w:lvlJc w:val="left"/>
      <w:pPr>
        <w:ind w:left="1134" w:hanging="567"/>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2A7225A"/>
    <w:multiLevelType w:val="multilevel"/>
    <w:tmpl w:val="324AD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C83387"/>
    <w:multiLevelType w:val="hybridMultilevel"/>
    <w:tmpl w:val="013A6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B0717F5"/>
    <w:multiLevelType w:val="hybridMultilevel"/>
    <w:tmpl w:val="6130EC46"/>
    <w:lvl w:ilvl="0" w:tplc="E1AC4982">
      <w:start w:val="1"/>
      <w:numFmt w:val="decimal"/>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F5C31A8"/>
    <w:multiLevelType w:val="hybridMultilevel"/>
    <w:tmpl w:val="80C819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75049767">
    <w:abstractNumId w:val="12"/>
  </w:num>
  <w:num w:numId="2" w16cid:durableId="1710959336">
    <w:abstractNumId w:val="13"/>
  </w:num>
  <w:num w:numId="3" w16cid:durableId="37897106">
    <w:abstractNumId w:val="4"/>
  </w:num>
  <w:num w:numId="4" w16cid:durableId="1065445368">
    <w:abstractNumId w:val="18"/>
  </w:num>
  <w:num w:numId="5" w16cid:durableId="1509756976">
    <w:abstractNumId w:val="17"/>
  </w:num>
  <w:num w:numId="6" w16cid:durableId="1992630998">
    <w:abstractNumId w:val="2"/>
  </w:num>
  <w:num w:numId="7" w16cid:durableId="1127549620">
    <w:abstractNumId w:val="1"/>
  </w:num>
  <w:num w:numId="8" w16cid:durableId="1623220833">
    <w:abstractNumId w:val="0"/>
  </w:num>
  <w:num w:numId="9" w16cid:durableId="1589922319">
    <w:abstractNumId w:val="14"/>
  </w:num>
  <w:num w:numId="10" w16cid:durableId="380635671">
    <w:abstractNumId w:val="15"/>
  </w:num>
  <w:num w:numId="11" w16cid:durableId="2075270541">
    <w:abstractNumId w:val="7"/>
  </w:num>
  <w:num w:numId="12" w16cid:durableId="658967853">
    <w:abstractNumId w:val="20"/>
  </w:num>
  <w:num w:numId="13" w16cid:durableId="1582442330">
    <w:abstractNumId w:val="5"/>
  </w:num>
  <w:num w:numId="14" w16cid:durableId="1693529811">
    <w:abstractNumId w:val="19"/>
  </w:num>
  <w:num w:numId="15" w16cid:durableId="2007783636">
    <w:abstractNumId w:val="14"/>
  </w:num>
  <w:num w:numId="16" w16cid:durableId="318311088">
    <w:abstractNumId w:val="10"/>
  </w:num>
  <w:num w:numId="17" w16cid:durableId="430392841">
    <w:abstractNumId w:val="16"/>
  </w:num>
  <w:num w:numId="18" w16cid:durableId="1452558019">
    <w:abstractNumId w:val="3"/>
  </w:num>
  <w:num w:numId="19" w16cid:durableId="606549666">
    <w:abstractNumId w:val="9"/>
  </w:num>
  <w:num w:numId="20" w16cid:durableId="147523715">
    <w:abstractNumId w:val="11"/>
  </w:num>
  <w:num w:numId="21" w16cid:durableId="286860732">
    <w:abstractNumId w:val="8"/>
  </w:num>
  <w:num w:numId="22" w16cid:durableId="596448510">
    <w:abstractNumId w:val="21"/>
  </w:num>
  <w:num w:numId="23" w16cid:durableId="240530792">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01"/>
    <w:rsid w:val="00000000"/>
    <w:rsid w:val="00012A53"/>
    <w:rsid w:val="00014C9E"/>
    <w:rsid w:val="00016692"/>
    <w:rsid w:val="00020937"/>
    <w:rsid w:val="000217FA"/>
    <w:rsid w:val="00021F48"/>
    <w:rsid w:val="00032F27"/>
    <w:rsid w:val="00034C8E"/>
    <w:rsid w:val="000439EF"/>
    <w:rsid w:val="0004620D"/>
    <w:rsid w:val="00057C7B"/>
    <w:rsid w:val="000650C2"/>
    <w:rsid w:val="0006516C"/>
    <w:rsid w:val="00066D94"/>
    <w:rsid w:val="0007032C"/>
    <w:rsid w:val="0007050E"/>
    <w:rsid w:val="00082AC3"/>
    <w:rsid w:val="00094E27"/>
    <w:rsid w:val="00096F88"/>
    <w:rsid w:val="000A2837"/>
    <w:rsid w:val="000B6CB9"/>
    <w:rsid w:val="000B7CD4"/>
    <w:rsid w:val="000C11D1"/>
    <w:rsid w:val="000C6C71"/>
    <w:rsid w:val="000D69E6"/>
    <w:rsid w:val="000E2F26"/>
    <w:rsid w:val="000E53CF"/>
    <w:rsid w:val="000E5B0B"/>
    <w:rsid w:val="000F264B"/>
    <w:rsid w:val="000F7588"/>
    <w:rsid w:val="0010074A"/>
    <w:rsid w:val="00102B71"/>
    <w:rsid w:val="00103AE3"/>
    <w:rsid w:val="0011477C"/>
    <w:rsid w:val="00121D62"/>
    <w:rsid w:val="001238C6"/>
    <w:rsid w:val="00132A36"/>
    <w:rsid w:val="0013479A"/>
    <w:rsid w:val="00134C15"/>
    <w:rsid w:val="0013715E"/>
    <w:rsid w:val="0014145F"/>
    <w:rsid w:val="00152835"/>
    <w:rsid w:val="00152AE6"/>
    <w:rsid w:val="001600EC"/>
    <w:rsid w:val="00162A8C"/>
    <w:rsid w:val="00167848"/>
    <w:rsid w:val="001709BE"/>
    <w:rsid w:val="00174DED"/>
    <w:rsid w:val="00175BFD"/>
    <w:rsid w:val="00182B22"/>
    <w:rsid w:val="00185B11"/>
    <w:rsid w:val="00190E91"/>
    <w:rsid w:val="00191093"/>
    <w:rsid w:val="00194A8E"/>
    <w:rsid w:val="00194F98"/>
    <w:rsid w:val="001B050C"/>
    <w:rsid w:val="001B6FB5"/>
    <w:rsid w:val="001E0DF2"/>
    <w:rsid w:val="001E44F2"/>
    <w:rsid w:val="001E5525"/>
    <w:rsid w:val="001F5A03"/>
    <w:rsid w:val="001F5B95"/>
    <w:rsid w:val="001F6C64"/>
    <w:rsid w:val="001F6D42"/>
    <w:rsid w:val="00201440"/>
    <w:rsid w:val="00202329"/>
    <w:rsid w:val="00223EE2"/>
    <w:rsid w:val="002260DA"/>
    <w:rsid w:val="00232EA9"/>
    <w:rsid w:val="00255763"/>
    <w:rsid w:val="00256887"/>
    <w:rsid w:val="00262BB3"/>
    <w:rsid w:val="00266E94"/>
    <w:rsid w:val="00267F48"/>
    <w:rsid w:val="002724AB"/>
    <w:rsid w:val="0028219F"/>
    <w:rsid w:val="002823CC"/>
    <w:rsid w:val="002908A0"/>
    <w:rsid w:val="00292978"/>
    <w:rsid w:val="002A02A4"/>
    <w:rsid w:val="002A3720"/>
    <w:rsid w:val="002A65F1"/>
    <w:rsid w:val="002B086E"/>
    <w:rsid w:val="002B6761"/>
    <w:rsid w:val="002B69D6"/>
    <w:rsid w:val="002C1B98"/>
    <w:rsid w:val="002C3BBF"/>
    <w:rsid w:val="002C51CE"/>
    <w:rsid w:val="002D15D5"/>
    <w:rsid w:val="002E1E0A"/>
    <w:rsid w:val="002E2D72"/>
    <w:rsid w:val="002E3C35"/>
    <w:rsid w:val="002E4C08"/>
    <w:rsid w:val="002E75B3"/>
    <w:rsid w:val="002E79E2"/>
    <w:rsid w:val="00302B50"/>
    <w:rsid w:val="0031370E"/>
    <w:rsid w:val="00313F4D"/>
    <w:rsid w:val="003147E4"/>
    <w:rsid w:val="0032085B"/>
    <w:rsid w:val="00324E4B"/>
    <w:rsid w:val="00325D71"/>
    <w:rsid w:val="00332969"/>
    <w:rsid w:val="00332DD6"/>
    <w:rsid w:val="0033641D"/>
    <w:rsid w:val="003457E2"/>
    <w:rsid w:val="00350EFD"/>
    <w:rsid w:val="0035303F"/>
    <w:rsid w:val="00353B94"/>
    <w:rsid w:val="00357B11"/>
    <w:rsid w:val="003603BA"/>
    <w:rsid w:val="00364719"/>
    <w:rsid w:val="00366B6B"/>
    <w:rsid w:val="00381201"/>
    <w:rsid w:val="003A186D"/>
    <w:rsid w:val="003A7644"/>
    <w:rsid w:val="003B0DD5"/>
    <w:rsid w:val="003B52CC"/>
    <w:rsid w:val="003B54B5"/>
    <w:rsid w:val="003B5D6F"/>
    <w:rsid w:val="003B60EF"/>
    <w:rsid w:val="003C436F"/>
    <w:rsid w:val="003E4D7F"/>
    <w:rsid w:val="003F4C26"/>
    <w:rsid w:val="003F4C3A"/>
    <w:rsid w:val="00416861"/>
    <w:rsid w:val="004210EB"/>
    <w:rsid w:val="00421D46"/>
    <w:rsid w:val="004262E7"/>
    <w:rsid w:val="00426576"/>
    <w:rsid w:val="00436D39"/>
    <w:rsid w:val="00441EB6"/>
    <w:rsid w:val="004619F0"/>
    <w:rsid w:val="0046212B"/>
    <w:rsid w:val="00470DD3"/>
    <w:rsid w:val="00471249"/>
    <w:rsid w:val="00480F21"/>
    <w:rsid w:val="004865AF"/>
    <w:rsid w:val="00486D9B"/>
    <w:rsid w:val="00490AF4"/>
    <w:rsid w:val="00497AD6"/>
    <w:rsid w:val="004A0C63"/>
    <w:rsid w:val="004A227A"/>
    <w:rsid w:val="004A2C68"/>
    <w:rsid w:val="004B0B09"/>
    <w:rsid w:val="004B455B"/>
    <w:rsid w:val="004C0895"/>
    <w:rsid w:val="004D5FC3"/>
    <w:rsid w:val="004E5F65"/>
    <w:rsid w:val="004F1181"/>
    <w:rsid w:val="004F5BB4"/>
    <w:rsid w:val="005002DD"/>
    <w:rsid w:val="0051700A"/>
    <w:rsid w:val="005208C2"/>
    <w:rsid w:val="00523655"/>
    <w:rsid w:val="00523B77"/>
    <w:rsid w:val="00524EC7"/>
    <w:rsid w:val="00527370"/>
    <w:rsid w:val="00530EB2"/>
    <w:rsid w:val="0053225A"/>
    <w:rsid w:val="005324A5"/>
    <w:rsid w:val="005408DD"/>
    <w:rsid w:val="00543250"/>
    <w:rsid w:val="00554539"/>
    <w:rsid w:val="00555765"/>
    <w:rsid w:val="00574380"/>
    <w:rsid w:val="00576365"/>
    <w:rsid w:val="00581435"/>
    <w:rsid w:val="005832FC"/>
    <w:rsid w:val="00587965"/>
    <w:rsid w:val="00597E56"/>
    <w:rsid w:val="005A2769"/>
    <w:rsid w:val="005A300C"/>
    <w:rsid w:val="005A38C2"/>
    <w:rsid w:val="005A3DF4"/>
    <w:rsid w:val="005A656D"/>
    <w:rsid w:val="005B0D93"/>
    <w:rsid w:val="005B176B"/>
    <w:rsid w:val="005B60D1"/>
    <w:rsid w:val="005B62CE"/>
    <w:rsid w:val="005C6623"/>
    <w:rsid w:val="006007BF"/>
    <w:rsid w:val="00601C47"/>
    <w:rsid w:val="00602689"/>
    <w:rsid w:val="0060570D"/>
    <w:rsid w:val="00610438"/>
    <w:rsid w:val="00616CE3"/>
    <w:rsid w:val="00636C8E"/>
    <w:rsid w:val="006471A8"/>
    <w:rsid w:val="00650275"/>
    <w:rsid w:val="006511A2"/>
    <w:rsid w:val="00652585"/>
    <w:rsid w:val="00652807"/>
    <w:rsid w:val="006636A0"/>
    <w:rsid w:val="0067074D"/>
    <w:rsid w:val="00676942"/>
    <w:rsid w:val="006863AD"/>
    <w:rsid w:val="00697B9A"/>
    <w:rsid w:val="006A45C5"/>
    <w:rsid w:val="006B7965"/>
    <w:rsid w:val="006C0FEB"/>
    <w:rsid w:val="006C3389"/>
    <w:rsid w:val="006C5831"/>
    <w:rsid w:val="006D3A01"/>
    <w:rsid w:val="006D65EF"/>
    <w:rsid w:val="006E6D4E"/>
    <w:rsid w:val="006F689C"/>
    <w:rsid w:val="00700570"/>
    <w:rsid w:val="0072083D"/>
    <w:rsid w:val="00724E3E"/>
    <w:rsid w:val="007420D3"/>
    <w:rsid w:val="00750DA6"/>
    <w:rsid w:val="0075246A"/>
    <w:rsid w:val="00753210"/>
    <w:rsid w:val="00762BD0"/>
    <w:rsid w:val="00765FEF"/>
    <w:rsid w:val="0077328C"/>
    <w:rsid w:val="007741DD"/>
    <w:rsid w:val="007760E2"/>
    <w:rsid w:val="00786B7E"/>
    <w:rsid w:val="007945E7"/>
    <w:rsid w:val="00795A3F"/>
    <w:rsid w:val="00797E21"/>
    <w:rsid w:val="007A693F"/>
    <w:rsid w:val="007B1BA5"/>
    <w:rsid w:val="007B3037"/>
    <w:rsid w:val="007B40CD"/>
    <w:rsid w:val="007C2497"/>
    <w:rsid w:val="007C2769"/>
    <w:rsid w:val="007C6FF5"/>
    <w:rsid w:val="007C742F"/>
    <w:rsid w:val="007D0951"/>
    <w:rsid w:val="007D5CA7"/>
    <w:rsid w:val="007E05C8"/>
    <w:rsid w:val="007E2CF4"/>
    <w:rsid w:val="007E3CD3"/>
    <w:rsid w:val="007E4E2E"/>
    <w:rsid w:val="007E6FA3"/>
    <w:rsid w:val="007F513E"/>
    <w:rsid w:val="007F5A7E"/>
    <w:rsid w:val="007F63DF"/>
    <w:rsid w:val="00804CA1"/>
    <w:rsid w:val="0080546A"/>
    <w:rsid w:val="00812058"/>
    <w:rsid w:val="00813540"/>
    <w:rsid w:val="00817011"/>
    <w:rsid w:val="00820D5C"/>
    <w:rsid w:val="00823419"/>
    <w:rsid w:val="0084601C"/>
    <w:rsid w:val="008550CC"/>
    <w:rsid w:val="00855894"/>
    <w:rsid w:val="00855A26"/>
    <w:rsid w:val="0086395D"/>
    <w:rsid w:val="008648DD"/>
    <w:rsid w:val="00884914"/>
    <w:rsid w:val="008856DD"/>
    <w:rsid w:val="008965EE"/>
    <w:rsid w:val="008A3EBA"/>
    <w:rsid w:val="008B55C9"/>
    <w:rsid w:val="008B6E6B"/>
    <w:rsid w:val="008B7120"/>
    <w:rsid w:val="008D109B"/>
    <w:rsid w:val="008D4504"/>
    <w:rsid w:val="008D5AC7"/>
    <w:rsid w:val="008E0AD5"/>
    <w:rsid w:val="008E5D7C"/>
    <w:rsid w:val="008E7D00"/>
    <w:rsid w:val="008F1638"/>
    <w:rsid w:val="00901E6B"/>
    <w:rsid w:val="00906A40"/>
    <w:rsid w:val="00911ABF"/>
    <w:rsid w:val="00922C9A"/>
    <w:rsid w:val="00924563"/>
    <w:rsid w:val="00926307"/>
    <w:rsid w:val="0093496F"/>
    <w:rsid w:val="0093598F"/>
    <w:rsid w:val="00937313"/>
    <w:rsid w:val="009375F6"/>
    <w:rsid w:val="00946E72"/>
    <w:rsid w:val="009513CC"/>
    <w:rsid w:val="00951F45"/>
    <w:rsid w:val="00955F6E"/>
    <w:rsid w:val="0095609F"/>
    <w:rsid w:val="009600E4"/>
    <w:rsid w:val="00974122"/>
    <w:rsid w:val="00977D36"/>
    <w:rsid w:val="009800A0"/>
    <w:rsid w:val="009831B7"/>
    <w:rsid w:val="009856C2"/>
    <w:rsid w:val="00986595"/>
    <w:rsid w:val="00987561"/>
    <w:rsid w:val="00991F5C"/>
    <w:rsid w:val="009A0D5B"/>
    <w:rsid w:val="009A1A9F"/>
    <w:rsid w:val="009A21F6"/>
    <w:rsid w:val="009A4495"/>
    <w:rsid w:val="009B0E0C"/>
    <w:rsid w:val="009B1415"/>
    <w:rsid w:val="009D3007"/>
    <w:rsid w:val="009D73A3"/>
    <w:rsid w:val="009E0846"/>
    <w:rsid w:val="009E5CBF"/>
    <w:rsid w:val="009F393B"/>
    <w:rsid w:val="00A03FE1"/>
    <w:rsid w:val="00A105CD"/>
    <w:rsid w:val="00A10A7E"/>
    <w:rsid w:val="00A211E5"/>
    <w:rsid w:val="00A27560"/>
    <w:rsid w:val="00A433B2"/>
    <w:rsid w:val="00A45AFE"/>
    <w:rsid w:val="00A569E3"/>
    <w:rsid w:val="00A76D1A"/>
    <w:rsid w:val="00A85367"/>
    <w:rsid w:val="00A922CF"/>
    <w:rsid w:val="00AA0CB9"/>
    <w:rsid w:val="00AA3BDA"/>
    <w:rsid w:val="00AA4631"/>
    <w:rsid w:val="00AA5160"/>
    <w:rsid w:val="00AA6B1B"/>
    <w:rsid w:val="00AD2A6A"/>
    <w:rsid w:val="00AE3655"/>
    <w:rsid w:val="00AF5BEF"/>
    <w:rsid w:val="00B0333B"/>
    <w:rsid w:val="00B03E3D"/>
    <w:rsid w:val="00B20A72"/>
    <w:rsid w:val="00B42B6A"/>
    <w:rsid w:val="00B55FC9"/>
    <w:rsid w:val="00B57336"/>
    <w:rsid w:val="00B57DB4"/>
    <w:rsid w:val="00B632F7"/>
    <w:rsid w:val="00B63EC6"/>
    <w:rsid w:val="00B86989"/>
    <w:rsid w:val="00B87D62"/>
    <w:rsid w:val="00B93C60"/>
    <w:rsid w:val="00B94E5C"/>
    <w:rsid w:val="00BB33DA"/>
    <w:rsid w:val="00BB762E"/>
    <w:rsid w:val="00BB7B1E"/>
    <w:rsid w:val="00BC11D2"/>
    <w:rsid w:val="00BC13CF"/>
    <w:rsid w:val="00BC51AA"/>
    <w:rsid w:val="00BD4FA5"/>
    <w:rsid w:val="00BE0167"/>
    <w:rsid w:val="00BE4355"/>
    <w:rsid w:val="00BE6F66"/>
    <w:rsid w:val="00BE738E"/>
    <w:rsid w:val="00C10BEA"/>
    <w:rsid w:val="00C1331D"/>
    <w:rsid w:val="00C15104"/>
    <w:rsid w:val="00C21016"/>
    <w:rsid w:val="00C217D8"/>
    <w:rsid w:val="00C334D6"/>
    <w:rsid w:val="00C33A36"/>
    <w:rsid w:val="00C341D9"/>
    <w:rsid w:val="00C34B92"/>
    <w:rsid w:val="00C40062"/>
    <w:rsid w:val="00C4044B"/>
    <w:rsid w:val="00C45675"/>
    <w:rsid w:val="00C46018"/>
    <w:rsid w:val="00C57911"/>
    <w:rsid w:val="00C64F73"/>
    <w:rsid w:val="00C75240"/>
    <w:rsid w:val="00C82ADE"/>
    <w:rsid w:val="00C83364"/>
    <w:rsid w:val="00C85939"/>
    <w:rsid w:val="00C90E65"/>
    <w:rsid w:val="00C94C36"/>
    <w:rsid w:val="00C969A3"/>
    <w:rsid w:val="00CA2106"/>
    <w:rsid w:val="00CA310D"/>
    <w:rsid w:val="00CC14FB"/>
    <w:rsid w:val="00CC5731"/>
    <w:rsid w:val="00CD13D4"/>
    <w:rsid w:val="00CE2B46"/>
    <w:rsid w:val="00CE5672"/>
    <w:rsid w:val="00D01A91"/>
    <w:rsid w:val="00D04303"/>
    <w:rsid w:val="00D1553D"/>
    <w:rsid w:val="00D16D91"/>
    <w:rsid w:val="00D20EE5"/>
    <w:rsid w:val="00D212FD"/>
    <w:rsid w:val="00D2240C"/>
    <w:rsid w:val="00D24437"/>
    <w:rsid w:val="00D420D9"/>
    <w:rsid w:val="00D43346"/>
    <w:rsid w:val="00D55752"/>
    <w:rsid w:val="00D6052B"/>
    <w:rsid w:val="00D63AB5"/>
    <w:rsid w:val="00D70BF9"/>
    <w:rsid w:val="00D71E1F"/>
    <w:rsid w:val="00D76CF2"/>
    <w:rsid w:val="00D84915"/>
    <w:rsid w:val="00D95E09"/>
    <w:rsid w:val="00D96646"/>
    <w:rsid w:val="00D975A7"/>
    <w:rsid w:val="00DC43C6"/>
    <w:rsid w:val="00DD050E"/>
    <w:rsid w:val="00DD1999"/>
    <w:rsid w:val="00DE2271"/>
    <w:rsid w:val="00DF1239"/>
    <w:rsid w:val="00DF1581"/>
    <w:rsid w:val="00DF18B7"/>
    <w:rsid w:val="00DF1946"/>
    <w:rsid w:val="00DF40E5"/>
    <w:rsid w:val="00DF6A88"/>
    <w:rsid w:val="00E1001C"/>
    <w:rsid w:val="00E22609"/>
    <w:rsid w:val="00E279D1"/>
    <w:rsid w:val="00E35147"/>
    <w:rsid w:val="00E37CAA"/>
    <w:rsid w:val="00E4088E"/>
    <w:rsid w:val="00E536DC"/>
    <w:rsid w:val="00E57DAB"/>
    <w:rsid w:val="00E608CF"/>
    <w:rsid w:val="00E63497"/>
    <w:rsid w:val="00E635A6"/>
    <w:rsid w:val="00E644A1"/>
    <w:rsid w:val="00E74A7F"/>
    <w:rsid w:val="00E75874"/>
    <w:rsid w:val="00E77C81"/>
    <w:rsid w:val="00E81CB0"/>
    <w:rsid w:val="00E85A0A"/>
    <w:rsid w:val="00E85D95"/>
    <w:rsid w:val="00E90364"/>
    <w:rsid w:val="00E90EC3"/>
    <w:rsid w:val="00E92BE3"/>
    <w:rsid w:val="00E93347"/>
    <w:rsid w:val="00EA096D"/>
    <w:rsid w:val="00EA48BC"/>
    <w:rsid w:val="00EA7475"/>
    <w:rsid w:val="00EB3038"/>
    <w:rsid w:val="00ED3E02"/>
    <w:rsid w:val="00EE0D2A"/>
    <w:rsid w:val="00EE1278"/>
    <w:rsid w:val="00EE41BF"/>
    <w:rsid w:val="00EE7D37"/>
    <w:rsid w:val="00EF089F"/>
    <w:rsid w:val="00EF4EE4"/>
    <w:rsid w:val="00EF588E"/>
    <w:rsid w:val="00F02405"/>
    <w:rsid w:val="00F04C1A"/>
    <w:rsid w:val="00F078E3"/>
    <w:rsid w:val="00F10D42"/>
    <w:rsid w:val="00F14604"/>
    <w:rsid w:val="00F22D43"/>
    <w:rsid w:val="00F3281A"/>
    <w:rsid w:val="00F41476"/>
    <w:rsid w:val="00F5074A"/>
    <w:rsid w:val="00F559A5"/>
    <w:rsid w:val="00F57EB3"/>
    <w:rsid w:val="00F6047E"/>
    <w:rsid w:val="00F61E6D"/>
    <w:rsid w:val="00F63C5A"/>
    <w:rsid w:val="00F64725"/>
    <w:rsid w:val="00F71083"/>
    <w:rsid w:val="00F73B9D"/>
    <w:rsid w:val="00F7612B"/>
    <w:rsid w:val="00F80443"/>
    <w:rsid w:val="00F81233"/>
    <w:rsid w:val="00F9159C"/>
    <w:rsid w:val="00FB5B97"/>
    <w:rsid w:val="00FC5FE4"/>
    <w:rsid w:val="00FE2973"/>
    <w:rsid w:val="00FE607D"/>
    <w:rsid w:val="00FE6367"/>
    <w:rsid w:val="00FF45E5"/>
    <w:rsid w:val="08E3BF6F"/>
    <w:rsid w:val="174D819F"/>
    <w:rsid w:val="74648C62"/>
    <w:rsid w:val="7B6E2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7A2CB"/>
  <w15:chartTrackingRefBased/>
  <w15:docId w15:val="{B939E31F-C9B3-4160-84B2-55B7E1B28C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3C5A"/>
    <w:pPr>
      <w:spacing w:before="120" w:after="0" w:line="240" w:lineRule="auto"/>
    </w:pPr>
    <w:rPr>
      <w:color w:val="0D0D0D" w:themeColor="text1"/>
      <w:sz w:val="24"/>
      <w:szCs w:val="24"/>
    </w:rPr>
  </w:style>
  <w:style w:type="paragraph" w:styleId="Heading1">
    <w:name w:val="heading 1"/>
    <w:basedOn w:val="Normal"/>
    <w:next w:val="Normal"/>
    <w:link w:val="Heading1Char"/>
    <w:uiPriority w:val="9"/>
    <w:qFormat/>
    <w:rsid w:val="00922C9A"/>
    <w:pPr>
      <w:keepNext/>
      <w:keepLines/>
      <w:numPr>
        <w:numId w:val="1"/>
      </w:numPr>
      <w:spacing w:before="240"/>
      <w:outlineLvl w:val="0"/>
    </w:pPr>
    <w:rPr>
      <w:rFonts w:asciiTheme="majorHAnsi" w:hAnsiTheme="majorHAnsi" w:eastAsiaTheme="majorEastAsia"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1"/>
      </w:numPr>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1"/>
      </w:numPr>
      <w:outlineLvl w:val="2"/>
    </w:pPr>
    <w:rPr>
      <w:b/>
      <w:bCs/>
      <w:sz w:val="28"/>
      <w:szCs w:val="28"/>
    </w:rPr>
  </w:style>
  <w:style w:type="paragraph" w:styleId="Heading4">
    <w:name w:val="heading 4"/>
    <w:basedOn w:val="ListParagraph"/>
    <w:next w:val="Normal"/>
    <w:link w:val="Heading4Char"/>
    <w:uiPriority w:val="9"/>
    <w:unhideWhenUsed/>
    <w:qFormat/>
    <w:rsid w:val="00D2240C"/>
    <w:pPr>
      <w:numPr>
        <w:ilvl w:val="3"/>
        <w:numId w:val="1"/>
      </w:numPr>
      <w:contextualSpacing w:val="0"/>
      <w:outlineLvl w:val="3"/>
    </w:pPr>
    <w:rPr>
      <w:b/>
      <w:bCs/>
    </w:rPr>
  </w:style>
  <w:style w:type="paragraph" w:styleId="Heading5">
    <w:name w:val="heading 5"/>
    <w:basedOn w:val="Normal"/>
    <w:next w:val="Normal"/>
    <w:link w:val="Heading5Char"/>
    <w:uiPriority w:val="9"/>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unhideWhenUsed/>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unhideWhenUsed/>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22C9A"/>
    <w:rPr>
      <w:rFonts w:asciiTheme="majorHAnsi" w:hAnsiTheme="majorHAnsi" w:eastAsiaTheme="majorEastAsia" w:cstheme="majorBidi"/>
      <w:color w:val="0D0D0D" w:themeColor="text1"/>
      <w:sz w:val="40"/>
      <w:szCs w:val="40"/>
    </w:rPr>
  </w:style>
  <w:style w:type="character" w:styleId="Heading2Char" w:customStyle="1">
    <w:name w:val="Heading 2 Char"/>
    <w:basedOn w:val="DefaultParagraphFont"/>
    <w:link w:val="Heading2"/>
    <w:uiPriority w:val="9"/>
    <w:rsid w:val="004A2C68"/>
    <w:rPr>
      <w:rFonts w:eastAsiaTheme="majorEastAsia" w:cstheme="majorBidi"/>
      <w:b/>
      <w:bCs/>
      <w:sz w:val="32"/>
      <w:szCs w:val="32"/>
    </w:rPr>
  </w:style>
  <w:style w:type="character" w:styleId="Heading3Char" w:customStyle="1">
    <w:name w:val="Heading 3 Char"/>
    <w:basedOn w:val="DefaultParagraphFont"/>
    <w:link w:val="Heading3"/>
    <w:uiPriority w:val="9"/>
    <w:rsid w:val="004A2C68"/>
    <w:rPr>
      <w:b/>
      <w:bCs/>
      <w:sz w:val="28"/>
      <w:szCs w:val="28"/>
    </w:rPr>
  </w:style>
  <w:style w:type="character" w:styleId="Heading4Char" w:customStyle="1">
    <w:name w:val="Heading 4 Char"/>
    <w:basedOn w:val="DefaultParagraphFont"/>
    <w:link w:val="Heading4"/>
    <w:uiPriority w:val="9"/>
    <w:rsid w:val="00D2240C"/>
    <w:rPr>
      <w:b/>
      <w:bCs/>
      <w:color w:val="0D0D0D" w:themeColor="text1"/>
      <w:sz w:val="24"/>
      <w:szCs w:val="24"/>
    </w:rPr>
  </w:style>
  <w:style w:type="character" w:styleId="Heading5Char" w:customStyle="1">
    <w:name w:val="Heading 5 Char"/>
    <w:basedOn w:val="DefaultParagraphFont"/>
    <w:link w:val="Heading5"/>
    <w:uiPriority w:val="9"/>
    <w:rsid w:val="00A433B2"/>
    <w:rPr>
      <w:rFonts w:eastAsiaTheme="majorEastAsia" w:cstheme="majorBidi"/>
      <w:color w:val="1E8BA8" w:themeColor="accent1" w:themeShade="BF"/>
    </w:rPr>
  </w:style>
  <w:style w:type="character" w:styleId="Heading6Char" w:customStyle="1">
    <w:name w:val="Heading 6 Char"/>
    <w:basedOn w:val="DefaultParagraphFont"/>
    <w:link w:val="Heading6"/>
    <w:uiPriority w:val="9"/>
    <w:rsid w:val="00A433B2"/>
    <w:rPr>
      <w:rFonts w:eastAsiaTheme="majorEastAsia" w:cstheme="majorBidi"/>
      <w:i/>
      <w:iCs/>
      <w:color w:val="616161" w:themeColor="text1" w:themeTint="A6"/>
    </w:rPr>
  </w:style>
  <w:style w:type="character" w:styleId="Heading7Char" w:customStyle="1">
    <w:name w:val="Heading 7 Char"/>
    <w:basedOn w:val="DefaultParagraphFont"/>
    <w:link w:val="Heading7"/>
    <w:uiPriority w:val="9"/>
    <w:rsid w:val="00A433B2"/>
    <w:rPr>
      <w:rFonts w:eastAsiaTheme="majorEastAsia" w:cstheme="majorBidi"/>
      <w:color w:val="616161" w:themeColor="text1" w:themeTint="A6"/>
    </w:rPr>
  </w:style>
  <w:style w:type="character" w:styleId="Heading8Char" w:customStyle="1">
    <w:name w:val="Heading 8 Char"/>
    <w:basedOn w:val="DefaultParagraphFont"/>
    <w:link w:val="Heading8"/>
    <w:uiPriority w:val="9"/>
    <w:semiHidden/>
    <w:rsid w:val="00A433B2"/>
    <w:rPr>
      <w:rFonts w:eastAsiaTheme="majorEastAsia" w:cstheme="majorBidi"/>
      <w:i/>
      <w:iCs/>
      <w:color w:val="323232" w:themeColor="text1" w:themeTint="D8"/>
    </w:rPr>
  </w:style>
  <w:style w:type="character" w:styleId="Heading9Char" w:customStyle="1">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B20A72"/>
    <w:pPr>
      <w:spacing w:after="80" w:line="216" w:lineRule="auto"/>
      <w:contextualSpacing/>
    </w:pPr>
    <w:rPr>
      <w:rFonts w:asciiTheme="majorHAnsi" w:hAnsiTheme="majorHAnsi" w:eastAsiaTheme="majorEastAsia" w:cstheme="majorBidi"/>
      <w:b/>
      <w:color w:val="FFFFFF"/>
      <w:spacing w:val="-10"/>
      <w:kern w:val="28"/>
      <w:sz w:val="96"/>
      <w:szCs w:val="96"/>
    </w:rPr>
  </w:style>
  <w:style w:type="character" w:styleId="TitleChar" w:customStyle="1">
    <w:name w:val="Title Char"/>
    <w:basedOn w:val="DefaultParagraphFont"/>
    <w:link w:val="Title"/>
    <w:uiPriority w:val="10"/>
    <w:rsid w:val="00B20A72"/>
    <w:rPr>
      <w:rFonts w:asciiTheme="majorHAnsi" w:hAnsiTheme="majorHAnsi" w:eastAsiaTheme="majorEastAsia" w:cstheme="majorBidi"/>
      <w:b/>
      <w:color w:val="FFFFFF"/>
      <w:spacing w:val="-10"/>
      <w:kern w:val="28"/>
      <w:sz w:val="96"/>
      <w:szCs w:val="96"/>
    </w:rPr>
  </w:style>
  <w:style w:type="paragraph" w:styleId="Subtitle">
    <w:name w:val="Subtitle"/>
    <w:basedOn w:val="Normal"/>
    <w:next w:val="Normal"/>
    <w:link w:val="SubtitleChar"/>
    <w:uiPriority w:val="11"/>
    <w:qFormat/>
    <w:rsid w:val="00B20A72"/>
    <w:pPr>
      <w:spacing w:before="360"/>
    </w:pPr>
    <w:rPr>
      <w:rFonts w:ascii="Figtree Medium"/>
      <w:color w:val="FFFFFF"/>
      <w:sz w:val="48"/>
    </w:rPr>
  </w:style>
  <w:style w:type="character" w:styleId="SubtitleChar" w:customStyle="1">
    <w:name w:val="Subtitle Char"/>
    <w:basedOn w:val="DefaultParagraphFont"/>
    <w:link w:val="Subtitle"/>
    <w:uiPriority w:val="11"/>
    <w:rsid w:val="00B20A72"/>
    <w:rPr>
      <w:rFonts w:ascii="Figtree Medium"/>
      <w:color w:val="FFFFFF"/>
      <w:sz w:val="48"/>
      <w:szCs w:val="24"/>
    </w:rPr>
  </w:style>
  <w:style w:type="paragraph" w:styleId="Quote">
    <w:name w:val="Quote"/>
    <w:basedOn w:val="Normal"/>
    <w:next w:val="Normal"/>
    <w:link w:val="QuoteChar"/>
    <w:uiPriority w:val="29"/>
    <w:qFormat/>
    <w:rsid w:val="00B20A72"/>
    <w:pPr>
      <w:spacing w:before="160"/>
      <w:jc w:val="center"/>
    </w:pPr>
    <w:rPr>
      <w:i/>
      <w:iCs/>
    </w:rPr>
  </w:style>
  <w:style w:type="character" w:styleId="QuoteChar" w:customStyle="1">
    <w:name w:val="Quote Char"/>
    <w:basedOn w:val="DefaultParagraphFont"/>
    <w:link w:val="Quote"/>
    <w:uiPriority w:val="29"/>
    <w:rsid w:val="00B20A72"/>
    <w:rPr>
      <w:i/>
      <w:iCs/>
      <w:color w:val="0D0D0D" w:themeColor="text1"/>
      <w:sz w:val="24"/>
      <w:szCs w:val="24"/>
    </w:rPr>
  </w:style>
  <w:style w:type="paragraph" w:styleId="ListParagraph">
    <w:name w:val="List Paragraph"/>
    <w:basedOn w:val="Normal"/>
    <w:link w:val="ListParagraphChar"/>
    <w:uiPriority w:val="34"/>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color="1E8BA8" w:themeColor="accent1" w:themeShade="BF" w:sz="4" w:space="10"/>
        <w:bottom w:val="single" w:color="1E8BA8" w:themeColor="accent1" w:themeShade="BF" w:sz="4" w:space="10"/>
      </w:pBdr>
      <w:spacing w:before="360" w:after="360"/>
      <w:ind w:left="864" w:right="864"/>
      <w:jc w:val="center"/>
    </w:pPr>
    <w:rPr>
      <w:i/>
      <w:iCs/>
      <w:color w:val="1E8BA8" w:themeColor="accent1" w:themeShade="BF"/>
    </w:rPr>
  </w:style>
  <w:style w:type="character" w:styleId="IntenseQuoteChar" w:customStyle="1">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styleId="Bulletlist1" w:customStyle="1">
    <w:name w:val="Bullet list 1"/>
    <w:basedOn w:val="Normal"/>
    <w:link w:val="Bulletlist1Char"/>
    <w:qFormat/>
    <w:rsid w:val="00DF18B7"/>
    <w:pPr>
      <w:numPr>
        <w:numId w:val="3"/>
      </w:numPr>
      <w:spacing w:before="0"/>
      <w:ind w:left="1134" w:hanging="567"/>
    </w:pPr>
  </w:style>
  <w:style w:type="character" w:styleId="Bulletlist1Char" w:customStyle="1">
    <w:name w:val="Bullet list 1 Char"/>
    <w:basedOn w:val="DefaultParagraphFont"/>
    <w:link w:val="Bulletlist1"/>
    <w:rsid w:val="00DF18B7"/>
    <w:rPr>
      <w:sz w:val="24"/>
      <w:szCs w:val="24"/>
    </w:rPr>
  </w:style>
  <w:style w:type="paragraph" w:styleId="Bulletlist2" w:customStyle="1">
    <w:name w:val="Bullet list 2"/>
    <w:basedOn w:val="Bulletlist1"/>
    <w:link w:val="Bulletlist2Char"/>
    <w:qFormat/>
    <w:rsid w:val="00DF18B7"/>
    <w:pPr>
      <w:ind w:left="1701"/>
    </w:pPr>
  </w:style>
  <w:style w:type="character" w:styleId="Bulletlist2Char" w:customStyle="1">
    <w:name w:val="Bullet list 2 Char"/>
    <w:basedOn w:val="Bulletlist1Char"/>
    <w:link w:val="Bulletlist2"/>
    <w:rsid w:val="00DF18B7"/>
    <w:rPr>
      <w:sz w:val="24"/>
      <w:szCs w:val="24"/>
    </w:rPr>
  </w:style>
  <w:style w:type="paragraph" w:styleId="Numberlist" w:customStyle="1">
    <w:name w:val="Number list"/>
    <w:basedOn w:val="ListParagraph"/>
    <w:link w:val="NumberlistChar"/>
    <w:qFormat/>
    <w:rsid w:val="00DF18B7"/>
    <w:pPr>
      <w:numPr>
        <w:numId w:val="5"/>
      </w:numPr>
      <w:spacing w:before="0"/>
      <w:ind w:left="1134" w:hanging="567"/>
    </w:pPr>
  </w:style>
  <w:style w:type="character" w:styleId="ListParagraphChar" w:customStyle="1">
    <w:name w:val="List Paragraph Char"/>
    <w:basedOn w:val="DefaultParagraphFont"/>
    <w:link w:val="ListParagraph"/>
    <w:uiPriority w:val="34"/>
    <w:rsid w:val="00610438"/>
    <w:rPr>
      <w:sz w:val="24"/>
      <w:szCs w:val="24"/>
    </w:rPr>
  </w:style>
  <w:style w:type="character" w:styleId="NumberlistChar" w:customStyle="1">
    <w:name w:val="Number list Char"/>
    <w:basedOn w:val="ListParagraphChar"/>
    <w:link w:val="Numberlist"/>
    <w:rsid w:val="00DF18B7"/>
    <w:rPr>
      <w:sz w:val="24"/>
      <w:szCs w:val="24"/>
    </w:rPr>
  </w:style>
  <w:style w:type="paragraph" w:styleId="Letterlist" w:customStyle="1">
    <w:name w:val="Letter list"/>
    <w:basedOn w:val="Normal"/>
    <w:link w:val="LetterlistChar"/>
    <w:qFormat/>
    <w:rsid w:val="00DF18B7"/>
    <w:pPr>
      <w:numPr>
        <w:ilvl w:val="1"/>
        <w:numId w:val="14"/>
      </w:numPr>
      <w:spacing w:before="0"/>
      <w:ind w:left="1701" w:hanging="567"/>
    </w:pPr>
  </w:style>
  <w:style w:type="character" w:styleId="LetterlistChar" w:customStyle="1">
    <w:name w:val="Letter list Char"/>
    <w:basedOn w:val="DefaultParagraphFont"/>
    <w:link w:val="Letterlist"/>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styleId="NoSpacingChar" w:customStyle="1">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styleId="HeaderChar" w:customStyle="1">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styleId="FooterChar" w:customStyle="1">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Caption">
    <w:name w:val="caption"/>
    <w:basedOn w:val="Normal"/>
    <w:next w:val="Normal"/>
    <w:uiPriority w:val="35"/>
    <w:unhideWhenUsed/>
    <w:qFormat/>
    <w:rsid w:val="002E4C08"/>
    <w:pPr>
      <w:spacing w:before="0" w:after="200"/>
    </w:pPr>
    <w:rPr>
      <w:i/>
      <w:iCs/>
      <w:sz w:val="20"/>
      <w:szCs w:val="20"/>
    </w:rPr>
  </w:style>
  <w:style w:type="paragraph" w:styleId="Table" w:customStyle="1">
    <w:name w:val="Table"/>
    <w:basedOn w:val="Normal"/>
    <w:qFormat/>
    <w:rsid w:val="000E5B0B"/>
    <w:pPr>
      <w:spacing w:before="40" w:after="40" w:line="264" w:lineRule="auto"/>
    </w:pPr>
    <w:rPr>
      <w:kern w:val="0"/>
      <w:sz w:val="20"/>
      <w14:ligatures w14:val="none"/>
    </w:rPr>
  </w:style>
  <w:style w:type="paragraph" w:styleId="TableBullet" w:customStyle="1">
    <w:name w:val="Table Bullet"/>
    <w:basedOn w:val="Normal"/>
    <w:qFormat/>
    <w:rsid w:val="00F02405"/>
    <w:pPr>
      <w:numPr>
        <w:numId w:val="9"/>
      </w:numPr>
      <w:spacing w:before="40" w:after="40" w:line="264" w:lineRule="auto"/>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1" w:customStyle="1">
    <w:name w:val="Table heading 1"/>
    <w:basedOn w:val="Normal"/>
    <w:next w:val="Table"/>
    <w:link w:val="Tableheading1Char"/>
    <w:qFormat/>
    <w:rsid w:val="009F393B"/>
    <w:pPr>
      <w:spacing w:before="40" w:after="40" w:line="264" w:lineRule="auto"/>
    </w:pPr>
    <w:rPr>
      <w:b/>
      <w:bCs/>
      <w:color w:val="FFFFFF" w:themeColor="background1"/>
      <w:kern w:val="0"/>
      <w:sz w:val="20"/>
      <w14:ligatures w14:val="none"/>
    </w:rPr>
  </w:style>
  <w:style w:type="paragraph" w:styleId="Date">
    <w:name w:val="Date"/>
    <w:basedOn w:val="Subtitle"/>
    <w:next w:val="Normal"/>
    <w:link w:val="DateChar"/>
    <w:uiPriority w:val="99"/>
    <w:unhideWhenUsed/>
    <w:qFormat/>
    <w:rsid w:val="00B20A72"/>
    <w:rPr>
      <w:sz w:val="28"/>
      <w:szCs w:val="28"/>
    </w:rPr>
  </w:style>
  <w:style w:type="character" w:styleId="DateChar" w:customStyle="1">
    <w:name w:val="Date Char"/>
    <w:basedOn w:val="DefaultParagraphFont"/>
    <w:link w:val="Date"/>
    <w:uiPriority w:val="99"/>
    <w:rsid w:val="00B20A72"/>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color="858585" w:themeColor="text1" w:themeTint="80" w:sz="4" w:space="0"/>
        <w:bottom w:val="single" w:color="858585" w:themeColor="text1" w:themeTint="80" w:sz="4" w:space="0"/>
      </w:tblBorders>
    </w:tblPr>
    <w:tblStylePr w:type="firstRow">
      <w:rPr>
        <w:b/>
        <w:bCs/>
      </w:rPr>
      <w:tblPr/>
      <w:tcPr>
        <w:tcBorders>
          <w:bottom w:val="single" w:color="858585" w:themeColor="text1" w:themeTint="80" w:sz="4" w:space="0"/>
        </w:tcBorders>
      </w:tcPr>
    </w:tblStylePr>
    <w:tblStylePr w:type="lastRow">
      <w:rPr>
        <w:b/>
        <w:bCs/>
      </w:rPr>
      <w:tblPr/>
      <w:tcPr>
        <w:tcBorders>
          <w:top w:val="single" w:color="858585" w:themeColor="text1" w:themeTint="80" w:sz="4" w:space="0"/>
        </w:tcBorders>
      </w:tcPr>
    </w:tblStylePr>
    <w:tblStylePr w:type="firstCol">
      <w:rPr>
        <w:b/>
        <w:bCs/>
      </w:rPr>
    </w:tblStylePr>
    <w:tblStylePr w:type="lastCol">
      <w:rPr>
        <w:b/>
        <w:bCs/>
      </w:rPr>
    </w:tblStylePr>
    <w:tblStylePr w:type="band1Vert">
      <w:tblPr/>
      <w:tcPr>
        <w:tcBorders>
          <w:left w:val="single" w:color="858585" w:themeColor="text1" w:themeTint="80" w:sz="4" w:space="0"/>
          <w:right w:val="single" w:color="858585" w:themeColor="text1" w:themeTint="80" w:sz="4" w:space="0"/>
        </w:tcBorders>
      </w:tcPr>
    </w:tblStylePr>
    <w:tblStylePr w:type="band2Vert">
      <w:tblPr/>
      <w:tcPr>
        <w:tcBorders>
          <w:left w:val="single" w:color="858585" w:themeColor="text1" w:themeTint="80" w:sz="4" w:space="0"/>
          <w:right w:val="single" w:color="858585" w:themeColor="text1" w:themeTint="80" w:sz="4" w:space="0"/>
        </w:tcBorders>
      </w:tcPr>
    </w:tblStylePr>
    <w:tblStylePr w:type="band1Horz">
      <w:tblPr/>
      <w:tcPr>
        <w:tcBorders>
          <w:top w:val="single" w:color="858585" w:themeColor="text1" w:themeTint="80" w:sz="4" w:space="0"/>
          <w:bottom w:val="single" w:color="858585" w:themeColor="text1" w:themeTint="80" w:sz="4" w:space="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color="0D0D0D" w:themeColor="text1" w:sz="4" w:space="0"/>
        <w:left w:val="single" w:color="0D0D0D" w:themeColor="text1" w:sz="4" w:space="0"/>
        <w:bottom w:val="single" w:color="0D0D0D" w:themeColor="text1" w:sz="4" w:space="0"/>
        <w:right w:val="single" w:color="0D0D0D" w:themeColor="text1" w:sz="4" w:space="0"/>
      </w:tblBorders>
    </w:tblPr>
    <w:tblStylePr w:type="firstRow">
      <w:rPr>
        <w:b/>
        <w:bCs/>
        <w:color w:val="FFFFFF" w:themeColor="background1"/>
      </w:rPr>
      <w:tblPr/>
      <w:tcPr>
        <w:shd w:val="clear" w:color="auto" w:fill="0D0D0D" w:themeFill="text1"/>
      </w:tcPr>
    </w:tblStylePr>
    <w:tblStylePr w:type="lastRow">
      <w:rPr>
        <w:b/>
        <w:bCs/>
      </w:rPr>
      <w:tblPr/>
      <w:tcPr>
        <w:tcBorders>
          <w:top w:val="double" w:color="0D0D0D"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D0D0D" w:themeColor="text1" w:sz="4" w:space="0"/>
          <w:right w:val="single" w:color="0D0D0D" w:themeColor="text1" w:sz="4" w:space="0"/>
        </w:tcBorders>
      </w:tcPr>
    </w:tblStylePr>
    <w:tblStylePr w:type="band1Horz">
      <w:tblPr/>
      <w:tcPr>
        <w:tcBorders>
          <w:top w:val="single" w:color="0D0D0D" w:themeColor="text1" w:sz="4" w:space="0"/>
          <w:bottom w:val="single" w:color="0D0D0D"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D0D0D" w:themeColor="text1" w:sz="4" w:space="0"/>
          <w:left w:val="nil"/>
        </w:tcBorders>
      </w:tcPr>
    </w:tblStylePr>
    <w:tblStylePr w:type="swCell">
      <w:tblPr/>
      <w:tcPr>
        <w:tcBorders>
          <w:top w:val="double" w:color="0D0D0D" w:themeColor="text1" w:sz="4" w:space="0"/>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color="6D6D6D" w:themeColor="text1" w:themeTint="99" w:sz="4" w:space="0"/>
        <w:left w:val="single" w:color="6D6D6D" w:themeColor="text1" w:themeTint="99" w:sz="4" w:space="0"/>
        <w:bottom w:val="single" w:color="6D6D6D" w:themeColor="text1" w:themeTint="99" w:sz="4" w:space="0"/>
        <w:right w:val="single" w:color="6D6D6D" w:themeColor="text1" w:themeTint="99" w:sz="4" w:space="0"/>
        <w:insideH w:val="single" w:color="6D6D6D" w:themeColor="text1" w:themeTint="99" w:sz="4" w:space="0"/>
        <w:insideV w:val="single" w:color="6D6D6D" w:themeColor="text1" w:themeTint="99" w:sz="4" w:space="0"/>
      </w:tblBorders>
    </w:tblPr>
    <w:tblStylePr w:type="firstRow">
      <w:rPr>
        <w:b/>
        <w:bCs/>
        <w:color w:val="FFFFFF" w:themeColor="background1"/>
      </w:rPr>
      <w:tblPr/>
      <w:tcPr>
        <w:tcBorders>
          <w:top w:val="single" w:color="0D0D0D" w:themeColor="text1" w:sz="4" w:space="0"/>
          <w:left w:val="single" w:color="0D0D0D" w:themeColor="text1" w:sz="4" w:space="0"/>
          <w:bottom w:val="single" w:color="0D0D0D" w:themeColor="text1" w:sz="4" w:space="0"/>
          <w:right w:val="single" w:color="0D0D0D" w:themeColor="text1" w:sz="4" w:space="0"/>
          <w:insideH w:val="nil"/>
          <w:insideV w:val="nil"/>
        </w:tcBorders>
        <w:shd w:val="clear" w:color="auto" w:fill="0D0D0D" w:themeFill="text1"/>
      </w:tcPr>
    </w:tblStylePr>
    <w:tblStylePr w:type="lastRow">
      <w:rPr>
        <w:b/>
        <w:bCs/>
      </w:rPr>
      <w:tblPr/>
      <w:tcPr>
        <w:tcBorders>
          <w:top w:val="double" w:color="0D0D0D" w:themeColor="text1" w:sz="4" w:space="0"/>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styleId="Style1" w:customStyle="1">
    <w:name w:val="Style1"/>
    <w:basedOn w:val="TableNormal"/>
    <w:uiPriority w:val="99"/>
    <w:rsid w:val="00152AE6"/>
    <w:pPr>
      <w:spacing w:after="0" w:line="240" w:lineRule="auto"/>
    </w:pPr>
    <w:tblPr/>
  </w:style>
  <w:style w:type="table" w:styleId="Style2" w:customStyle="1">
    <w:name w:val="Style2"/>
    <w:basedOn w:val="TableNormal"/>
    <w:uiPriority w:val="99"/>
    <w:rsid w:val="002B086E"/>
    <w:pPr>
      <w:spacing w:after="0" w:line="240" w:lineRule="auto"/>
    </w:pPr>
    <w:tblPr/>
  </w:style>
  <w:style w:type="character" w:styleId="SubtleEmphasis">
    <w:name w:val="Subtle Emphasis"/>
    <w:basedOn w:val="DefaultParagraphFont"/>
    <w:uiPriority w:val="19"/>
    <w:rsid w:val="00DF1946"/>
    <w:rPr>
      <w:i/>
      <w:iCs/>
      <w:color w:val="494949" w:themeColor="text1" w:themeTint="BF"/>
    </w:rPr>
  </w:style>
  <w:style w:type="character" w:styleId="Emphasis">
    <w:name w:val="Emphasis"/>
    <w:basedOn w:val="DefaultParagraphFont"/>
    <w:uiPriority w:val="20"/>
    <w:rsid w:val="00DF1946"/>
    <w:rPr>
      <w:i/>
      <w:iCs/>
    </w:rPr>
  </w:style>
  <w:style w:type="character" w:styleId="Strong">
    <w:name w:val="Strong"/>
    <w:basedOn w:val="DefaultParagraphFont"/>
    <w:uiPriority w:val="22"/>
    <w:rsid w:val="00DF1946"/>
    <w:rPr>
      <w:b/>
      <w:bCs/>
    </w:rPr>
  </w:style>
  <w:style w:type="character" w:styleId="SubtleReference">
    <w:name w:val="Subtle Reference"/>
    <w:basedOn w:val="DefaultParagraphFont"/>
    <w:uiPriority w:val="31"/>
    <w:rsid w:val="00DF1946"/>
    <w:rPr>
      <w:smallCaps/>
      <w:color w:val="626262" w:themeColor="text1" w:themeTint="A5"/>
    </w:rPr>
  </w:style>
  <w:style w:type="table" w:styleId="GridTable4-Accent1">
    <w:name w:val="Grid Table 4 Accent 1"/>
    <w:basedOn w:val="TableNormal"/>
    <w:uiPriority w:val="49"/>
    <w:rsid w:val="00F5074A"/>
    <w:pPr>
      <w:spacing w:after="0" w:line="240" w:lineRule="auto"/>
    </w:pPr>
    <w:tblPr>
      <w:tblStyleRowBandSize w:val="1"/>
      <w:tblStyleColBandSize w:val="1"/>
      <w:tblBorders>
        <w:top w:val="single" w:color="82D3E8" w:themeColor="accent1" w:themeTint="99" w:sz="4" w:space="0"/>
        <w:left w:val="single" w:color="82D3E8" w:themeColor="accent1" w:themeTint="99" w:sz="4" w:space="0"/>
        <w:bottom w:val="single" w:color="82D3E8" w:themeColor="accent1" w:themeTint="99" w:sz="4" w:space="0"/>
        <w:right w:val="single" w:color="82D3E8" w:themeColor="accent1" w:themeTint="99" w:sz="4" w:space="0"/>
        <w:insideH w:val="single" w:color="82D3E8" w:themeColor="accent1" w:themeTint="99" w:sz="4" w:space="0"/>
        <w:insideV w:val="single" w:color="82D3E8" w:themeColor="accent1" w:themeTint="99" w:sz="4" w:space="0"/>
      </w:tblBorders>
    </w:tblPr>
    <w:tblStylePr w:type="firstRow">
      <w:rPr>
        <w:b/>
        <w:bCs/>
        <w:color w:val="FFFFFF" w:themeColor="background1"/>
      </w:rPr>
      <w:tblPr/>
      <w:tcPr>
        <w:shd w:val="clear" w:color="auto" w:fill="82D3E8" w:themeFill="accent1" w:themeFillTint="99"/>
      </w:tcPr>
    </w:tblStylePr>
    <w:tblStylePr w:type="lastRow">
      <w:rPr>
        <w:b/>
        <w:bCs/>
      </w:rPr>
      <w:tblPr/>
      <w:tcPr>
        <w:tcBorders>
          <w:top w:val="double" w:color="2FB7DA" w:themeColor="accent1" w:sz="4" w:space="0"/>
        </w:tcBorders>
      </w:tcPr>
    </w:tblStylePr>
    <w:tblStylePr w:type="firstCol">
      <w:rPr>
        <w:b/>
        <w:bCs/>
      </w:rPr>
    </w:tblStylePr>
    <w:tblStylePr w:type="lastCol">
      <w:rPr>
        <w:b/>
        <w:bCs/>
      </w:rPr>
    </w:tblStylePr>
    <w:tblStylePr w:type="band1Vert">
      <w:tblPr/>
      <w:tcPr>
        <w:shd w:val="clear" w:color="auto" w:fill="D5F0F7" w:themeFill="accent1" w:themeFillTint="33"/>
      </w:tcPr>
    </w:tblStylePr>
    <w:tblStylePr w:type="band1Horz">
      <w:tblPr/>
      <w:tcPr>
        <w:shd w:val="clear" w:color="auto" w:fill="D5F0F7" w:themeFill="accent1" w:themeFillTint="33"/>
      </w:tcPr>
    </w:tblStylePr>
  </w:style>
  <w:style w:type="paragraph" w:styleId="Tableheading2" w:customStyle="1">
    <w:name w:val="Table heading 2"/>
    <w:basedOn w:val="Tableheading1"/>
    <w:link w:val="Tableheading2Char"/>
    <w:qFormat/>
    <w:rsid w:val="00922C9A"/>
    <w:rPr>
      <w:color w:val="auto"/>
    </w:rPr>
  </w:style>
  <w:style w:type="character" w:styleId="Tableheading1Char" w:customStyle="1">
    <w:name w:val="Table heading 1 Char"/>
    <w:basedOn w:val="DefaultParagraphFont"/>
    <w:link w:val="Tableheading1"/>
    <w:rsid w:val="009F393B"/>
    <w:rPr>
      <w:b/>
      <w:bCs/>
      <w:color w:val="FFFFFF" w:themeColor="background1"/>
      <w:kern w:val="0"/>
      <w:sz w:val="20"/>
      <w:szCs w:val="24"/>
      <w14:ligatures w14:val="none"/>
    </w:rPr>
  </w:style>
  <w:style w:type="character" w:styleId="Tableheading2Char" w:customStyle="1">
    <w:name w:val="Table heading 2 Char"/>
    <w:basedOn w:val="Tableheading1Char"/>
    <w:link w:val="Tableheading2"/>
    <w:rsid w:val="00922C9A"/>
    <w:rPr>
      <w:b/>
      <w:bCs/>
      <w:color w:val="FFFFFF" w:themeColor="background1"/>
      <w:kern w:val="0"/>
      <w:sz w:val="20"/>
      <w:szCs w:val="24"/>
      <w14:ligatures w14:val="none"/>
    </w:rPr>
  </w:style>
  <w:style w:type="table" w:styleId="GridTable4-Accent2">
    <w:name w:val="Grid Table 4 Accent 2"/>
    <w:basedOn w:val="TableNormal"/>
    <w:uiPriority w:val="49"/>
    <w:rsid w:val="00D2240C"/>
    <w:pPr>
      <w:spacing w:after="0" w:line="240" w:lineRule="auto"/>
    </w:pPr>
    <w:tblPr>
      <w:tblStyleRowBandSize w:val="1"/>
      <w:tblStyleColBandSize w:val="1"/>
      <w:tblBorders>
        <w:top w:val="single" w:color="FDCDA4" w:themeColor="accent2" w:themeTint="99" w:sz="4" w:space="0"/>
        <w:left w:val="single" w:color="FDCDA4" w:themeColor="accent2" w:themeTint="99" w:sz="4" w:space="0"/>
        <w:bottom w:val="single" w:color="FDCDA4" w:themeColor="accent2" w:themeTint="99" w:sz="4" w:space="0"/>
        <w:right w:val="single" w:color="FDCDA4" w:themeColor="accent2" w:themeTint="99" w:sz="4" w:space="0"/>
        <w:insideH w:val="single" w:color="FDCDA4" w:themeColor="accent2" w:themeTint="99" w:sz="4" w:space="0"/>
        <w:insideV w:val="single" w:color="FDCDA4" w:themeColor="accent2" w:themeTint="99" w:sz="4" w:space="0"/>
      </w:tblBorders>
    </w:tblPr>
    <w:tblStylePr w:type="firstRow">
      <w:rPr>
        <w:b/>
        <w:bCs/>
        <w:color w:val="FFFFFF" w:themeColor="background1"/>
      </w:rPr>
      <w:tblPr/>
      <w:tcPr>
        <w:tcBorders>
          <w:top w:val="single" w:color="FCAC69" w:themeColor="accent2" w:sz="4" w:space="0"/>
          <w:left w:val="single" w:color="FCAC69" w:themeColor="accent2" w:sz="4" w:space="0"/>
          <w:bottom w:val="single" w:color="FCAC69" w:themeColor="accent2" w:sz="4" w:space="0"/>
          <w:right w:val="single" w:color="FCAC69" w:themeColor="accent2" w:sz="4" w:space="0"/>
          <w:insideH w:val="nil"/>
          <w:insideV w:val="nil"/>
        </w:tcBorders>
        <w:shd w:val="clear" w:color="auto" w:fill="FCAC69" w:themeFill="accent2"/>
      </w:tcPr>
    </w:tblStylePr>
    <w:tblStylePr w:type="lastRow">
      <w:rPr>
        <w:b/>
        <w:bCs/>
      </w:rPr>
      <w:tblPr/>
      <w:tcPr>
        <w:tcBorders>
          <w:top w:val="double" w:color="FCAC69" w:themeColor="accent2" w:sz="4" w:space="0"/>
        </w:tcBorders>
      </w:tcPr>
    </w:tblStylePr>
    <w:tblStylePr w:type="firstCol">
      <w:rPr>
        <w:b/>
        <w:bCs/>
      </w:rPr>
    </w:tblStylePr>
    <w:tblStylePr w:type="lastCol">
      <w:rPr>
        <w:b/>
        <w:bCs/>
      </w:rPr>
    </w:tblStylePr>
    <w:tblStylePr w:type="band1Vert">
      <w:tblPr/>
      <w:tcPr>
        <w:shd w:val="clear" w:color="auto" w:fill="FEEEE0" w:themeFill="accent2" w:themeFillTint="33"/>
      </w:tcPr>
    </w:tblStylePr>
    <w:tblStylePr w:type="band1Horz">
      <w:tblPr/>
      <w:tcPr>
        <w:shd w:val="clear" w:color="auto" w:fill="FEEEE0" w:themeFill="accent2" w:themeFillTint="33"/>
      </w:tcPr>
    </w:tblStylePr>
  </w:style>
  <w:style w:type="table" w:styleId="GridTable4-Accent5">
    <w:name w:val="Grid Table 4 Accent 5"/>
    <w:basedOn w:val="TableNormal"/>
    <w:uiPriority w:val="49"/>
    <w:rsid w:val="003E4D7F"/>
    <w:pPr>
      <w:spacing w:after="0" w:line="240" w:lineRule="auto"/>
    </w:pPr>
    <w:tblPr>
      <w:tblStyleRowBandSize w:val="1"/>
      <w:tblStyleColBandSize w:val="1"/>
      <w:tblBorders>
        <w:top w:val="single" w:color="B3DFCE" w:themeColor="accent5" w:themeTint="99" w:sz="4" w:space="0"/>
        <w:left w:val="single" w:color="B3DFCE" w:themeColor="accent5" w:themeTint="99" w:sz="4" w:space="0"/>
        <w:bottom w:val="single" w:color="B3DFCE" w:themeColor="accent5" w:themeTint="99" w:sz="4" w:space="0"/>
        <w:right w:val="single" w:color="B3DFCE" w:themeColor="accent5" w:themeTint="99" w:sz="4" w:space="0"/>
        <w:insideH w:val="single" w:color="B3DFCE" w:themeColor="accent5" w:themeTint="99" w:sz="4" w:space="0"/>
        <w:insideV w:val="single" w:color="B3DFCE" w:themeColor="accent5" w:themeTint="99" w:sz="4" w:space="0"/>
      </w:tblBorders>
    </w:tblPr>
    <w:tblStylePr w:type="firstRow">
      <w:rPr>
        <w:b/>
        <w:bCs/>
        <w:color w:val="FFFFFF" w:themeColor="background1"/>
      </w:rPr>
      <w:tblPr/>
      <w:tcPr>
        <w:tcBorders>
          <w:top w:val="single" w:color="82CAAE" w:themeColor="accent5" w:sz="4" w:space="0"/>
          <w:left w:val="single" w:color="82CAAE" w:themeColor="accent5" w:sz="4" w:space="0"/>
          <w:bottom w:val="single" w:color="82CAAE" w:themeColor="accent5" w:sz="4" w:space="0"/>
          <w:right w:val="single" w:color="82CAAE" w:themeColor="accent5" w:sz="4" w:space="0"/>
          <w:insideH w:val="nil"/>
          <w:insideV w:val="nil"/>
        </w:tcBorders>
        <w:shd w:val="clear" w:color="auto" w:fill="82CAAE" w:themeFill="accent5"/>
      </w:tcPr>
    </w:tblStylePr>
    <w:tblStylePr w:type="lastRow">
      <w:rPr>
        <w:b/>
        <w:bCs/>
      </w:rPr>
      <w:tblPr/>
      <w:tcPr>
        <w:tcBorders>
          <w:top w:val="double" w:color="82CAAE" w:themeColor="accent5" w:sz="4" w:space="0"/>
        </w:tcBorders>
      </w:tcPr>
    </w:tblStylePr>
    <w:tblStylePr w:type="firstCol">
      <w:rPr>
        <w:b/>
        <w:bCs/>
      </w:rPr>
    </w:tblStylePr>
    <w:tblStylePr w:type="lastCol">
      <w:rPr>
        <w:b/>
        <w:bCs/>
      </w:rPr>
    </w:tblStylePr>
    <w:tblStylePr w:type="band1Vert">
      <w:tblPr/>
      <w:tcPr>
        <w:shd w:val="clear" w:color="auto" w:fill="E5F4EE" w:themeFill="accent5" w:themeFillTint="33"/>
      </w:tcPr>
    </w:tblStylePr>
    <w:tblStylePr w:type="band1Horz">
      <w:tblPr/>
      <w:tcPr>
        <w:shd w:val="clear" w:color="auto" w:fill="E5F4EE"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qalearning.sharepoint.com/sites/TODAYQA/CircusStreetBrandedTemplates/QALetterhead_QAGroup_Oct24.dotx" TargetMode="External"/></Relationships>
</file>

<file path=word/theme/theme1.xml><?xml version="1.0" encoding="utf-8"?>
<a:theme xmlns:a="http://schemas.openxmlformats.org/drawingml/2006/main" xmlns:thm15="http://schemas.microsoft.com/office/thememl/2012/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ABA4E2D852184EA2ABAF90C2319D8A" ma:contentTypeVersion="6" ma:contentTypeDescription="Create a new document." ma:contentTypeScope="" ma:versionID="4a9e518257098e2284385057f54d9be5">
  <xsd:schema xmlns:xsd="http://www.w3.org/2001/XMLSchema" xmlns:xs="http://www.w3.org/2001/XMLSchema" xmlns:p="http://schemas.microsoft.com/office/2006/metadata/properties" xmlns:ns2="ef497b18-4128-4016-bb6a-15edfb7c23fd" xmlns:ns3="39d34418-66a7-49be-bd3a-090b4a4fbd1a" targetNamespace="http://schemas.microsoft.com/office/2006/metadata/properties" ma:root="true" ma:fieldsID="420cd44ff676c527c7fe758eabd6c597" ns2:_="" ns3:_="">
    <xsd:import namespace="ef497b18-4128-4016-bb6a-15edfb7c23fd"/>
    <xsd:import namespace="39d34418-66a7-49be-bd3a-090b4a4fbd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97b18-4128-4016-bb6a-15edfb7c2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34418-66a7-49be-bd3a-090b4a4fbd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997309-FACA-442A-8A47-89BAD725A418}">
  <ds:schemaRefs>
    <ds:schemaRef ds:uri="http://schemas.openxmlformats.org/officeDocument/2006/bibliography"/>
  </ds:schemaRefs>
</ds:datastoreItem>
</file>

<file path=customXml/itemProps2.xml><?xml version="1.0" encoding="utf-8"?>
<ds:datastoreItem xmlns:ds="http://schemas.openxmlformats.org/officeDocument/2006/customXml" ds:itemID="{1EF956C6-2A7C-438B-ACF2-9A85252697A5}">
  <ds:schemaRefs>
    <ds:schemaRef ds:uri="http://schemas.microsoft.com/sharepoint/v3/contenttype/forms"/>
  </ds:schemaRefs>
</ds:datastoreItem>
</file>

<file path=customXml/itemProps3.xml><?xml version="1.0" encoding="utf-8"?>
<ds:datastoreItem xmlns:ds="http://schemas.openxmlformats.org/officeDocument/2006/customXml" ds:itemID="{7C612E4F-FF68-47C9-B1A8-EEB1BDAF7B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626A72-FEA0-4510-A9A5-80709438C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97b18-4128-4016-bb6a-15edfb7c23fd"/>
    <ds:schemaRef ds:uri="39d34418-66a7-49be-bd3a-090b4a4fb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c220797-c337-49f8-b086-a9a24979f728}" enabled="0" method="" siteId="{9c220797-c337-49f8-b086-a9a24979f728}"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QALetterhead_QAGroup_Oct24</ap:Template>
  <ap:Application>Microsoft Word for the web</ap:Application>
  <ap:DocSecurity>0</ap:DocSecurity>
  <ap:ScaleCrop>false</ap:ScaleCrop>
  <ap:Company>QA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Crozier, Ellie</dc:creator>
  <keywords/>
  <dc:description/>
  <lastModifiedBy>Belcher, Emily</lastModifiedBy>
  <revision>11</revision>
  <lastPrinted>2024-06-05T09:35:00.0000000Z</lastPrinted>
  <dcterms:created xsi:type="dcterms:W3CDTF">2026-05-01T13:42:00.0000000Z</dcterms:created>
  <dcterms:modified xsi:type="dcterms:W3CDTF">2026-05-19T08:31:59.7364635Z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0x0101008DABA4E2D852184EA2ABAF90C2319D8A</vt:lpwstr>
  </property>
</Properties>
</file>